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BC18D" w14:textId="77777777" w:rsidR="004522E2" w:rsidRDefault="0067691A"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مفاهيم راهبردي</w:t>
      </w:r>
    </w:p>
    <w:p w14:paraId="5FBD081A" w14:textId="633EAA63" w:rsidR="009B0D6B" w:rsidRDefault="009B0D6B" w:rsidP="009B0D6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ستاد </w:t>
      </w:r>
      <w:r w:rsidR="0067691A">
        <w:rPr>
          <w:rFonts w:hint="cs"/>
          <w:rtl/>
        </w:rPr>
        <w:t xml:space="preserve">درصدد است </w:t>
      </w:r>
      <w:bookmarkStart w:id="0" w:name="_GoBack"/>
      <w:r w:rsidR="0067691A">
        <w:rPr>
          <w:rFonts w:hint="cs"/>
          <w:rtl/>
        </w:rPr>
        <w:t>با به‌كارگيري ابزارهاي نوين هوشمند رايانه‌اي امكاني را فراهم آورد كه بتوان مباني ديني را متناسب با مكتب اسلام در عرصه علوم انساني تبديل به الگوريتم‌هايي نمود كه قدرت تحقق عيني و خارجي اصول و اركان اين مكتب حقّه را در اختيار نظام اسلامي قرار دهد. از اين رو، ابتدا بايد تعاريف پايه‌اي از اصطلاحات و مفاهيم رايج در اين عرصه را به تفاهم برساند.</w:t>
      </w:r>
      <w:r w:rsidR="00FE28DC">
        <w:rPr>
          <w:rFonts w:hint="cs"/>
          <w:rtl/>
        </w:rPr>
        <w:t xml:space="preserve"> نوشته حاضر تلاش مي‌كند اين مفاهيم را به دور از عبارات تخصّصي و پيچيده، با بياني ساده و روان معرفي نمايد.</w:t>
      </w:r>
    </w:p>
    <w:bookmarkEnd w:id="0"/>
    <w:p w14:paraId="71ECAB07" w14:textId="77777777" w:rsidR="00881241" w:rsidRDefault="00881241" w:rsidP="0069700C">
      <w:pPr>
        <w:rPr>
          <w:rtl/>
        </w:rPr>
      </w:pPr>
    </w:p>
    <w:p w14:paraId="1F6A26BA" w14:textId="77777777" w:rsidR="00881241" w:rsidRDefault="0067691A" w:rsidP="00881241">
      <w:pPr>
        <w:pStyle w:val="Heading1"/>
        <w:rPr>
          <w:rtl/>
        </w:rPr>
      </w:pPr>
      <w:r>
        <w:rPr>
          <w:rFonts w:hint="cs"/>
          <w:rtl/>
        </w:rPr>
        <w:t>سياستگذاري</w:t>
      </w:r>
    </w:p>
    <w:p w14:paraId="465C78B9" w14:textId="77777777" w:rsidR="00E22C0E" w:rsidRDefault="0067691A" w:rsidP="00E22C0E">
      <w:pPr>
        <w:rPr>
          <w:rtl/>
        </w:rPr>
      </w:pPr>
      <w:r>
        <w:rPr>
          <w:rFonts w:hint="cs"/>
          <w:rtl/>
        </w:rPr>
        <w:t>هنگامي‌كه يك پروژه يا فعاليت را به دست يك نفر بسپاريم، صفر تا صد آن را خود مي‌انديشد، طراحي مي‌كند و سپس به اجرا مي‌رساند. اما وقتي با يك «نظام» مواجه باشيم، نهادهاي متعدّدي درگير تحقق يك هدف هستند و با تعداد زيادي از افرادي مواجه هستيم كه ديدگاه‌هاي نظري و عملي متفاوتي دارند. فعاليت‌ها نيز بايستي خُرد شده و بين اين نهادها و افراد توزيع شود. اين‌جاست كه نياز به «همگرايي» پيدا مي‌كنيم. كار «سياست‌ها» همين است كه بتواند تمامي نگاه‌ها و رويكردها را «همسو» كند. مثلاً اگر در مسأله جمعيت به «سياست فرزندآوري» برسيم، تمامي نيروهاي فعّال در اين عرصه خواهند دانست براي مشخّص كردن نسبت خود با نظام اسلامي بايستي در اين جهت برنامه‌ريزي و حركت كنند. از اين جهت است كه «سياستگذاري» معنا پيدا مي‌كند؛ فعاليتي كه محصول آن «سياست‌ها» در هر عرصه است.</w:t>
      </w:r>
    </w:p>
    <w:p w14:paraId="6490322A" w14:textId="77777777" w:rsidR="0067691A" w:rsidRDefault="0067691A" w:rsidP="0067691A">
      <w:pPr>
        <w:pStyle w:val="Heading1"/>
        <w:rPr>
          <w:rtl/>
        </w:rPr>
      </w:pPr>
      <w:r>
        <w:rPr>
          <w:rFonts w:hint="cs"/>
          <w:rtl/>
        </w:rPr>
        <w:t>راهبرد</w:t>
      </w:r>
    </w:p>
    <w:p w14:paraId="0AE150C0" w14:textId="77777777" w:rsidR="0067691A" w:rsidRDefault="0067691A" w:rsidP="0067691A">
      <w:pPr>
        <w:rPr>
          <w:rtl/>
        </w:rPr>
      </w:pPr>
      <w:r>
        <w:rPr>
          <w:rFonts w:hint="cs"/>
          <w:rtl/>
        </w:rPr>
        <w:t xml:space="preserve">همان‌قدر كه «سياست‌ها» كلّي هستند و عمومي، «راهبردها» بخشي هستند و وابسته به اجزاي نظام. «اصول راهبردي» جهت حركت هر كدام از بخش‌هاي يك نظام را براي دستيابي به «سياست‌هاي كلّي» مشخّص مي‌كنند. مثلاً در همان مسأله </w:t>
      </w:r>
      <w:r w:rsidR="004E6BE6">
        <w:rPr>
          <w:rFonts w:hint="cs"/>
          <w:rtl/>
        </w:rPr>
        <w:t>«جمعيت» اگر به سياست «فرزندآوري» برسيم، نيازمند راهبردهاي فرهنگي، اقتصادي، امنيتي، آموزشي و… هستيم. راهبردها اگر چه دستور عملياتي مشخصي به ما نمي‌دهند و نمي‌گويند «چه بايد كرد» ولي نشان مي‌دهند كه در هر جزئي از نظام به چه «سمتي» بايد حركت كرد.</w:t>
      </w:r>
    </w:p>
    <w:p w14:paraId="00E380EA" w14:textId="77777777" w:rsidR="004E6BE6" w:rsidRDefault="004E6BE6" w:rsidP="004E6BE6">
      <w:pPr>
        <w:pStyle w:val="Heading1"/>
        <w:rPr>
          <w:rtl/>
        </w:rPr>
      </w:pPr>
      <w:r>
        <w:rPr>
          <w:rFonts w:hint="cs"/>
          <w:rtl/>
        </w:rPr>
        <w:t>اقدامات كلان</w:t>
      </w:r>
    </w:p>
    <w:p w14:paraId="32D53619" w14:textId="77777777" w:rsidR="004E6BE6" w:rsidRDefault="004E6BE6" w:rsidP="004E6BE6">
      <w:pPr>
        <w:rPr>
          <w:rtl/>
        </w:rPr>
      </w:pPr>
      <w:r>
        <w:rPr>
          <w:rFonts w:hint="cs"/>
          <w:rtl/>
        </w:rPr>
        <w:t>راهبردها زماني مي‌توانند به تحقق عيني و حقيقي در جهان واقعي برسند و از حوزه نظري و ذهني خارج شوند كه بتوانند «راهكارها» را توصيه كنند. بنابراين لازم است كارهايي كه براي حركت در جهت «راهبردها» لازم است را فهرست كنيم. اين كارها مجموعه «اقداماتي» را شكل مي‌دهند كه هر بخش از يك نظام بايد به انجام برسانند.</w:t>
      </w:r>
    </w:p>
    <w:p w14:paraId="3889338D" w14:textId="77777777" w:rsidR="004E6BE6" w:rsidRDefault="004E6BE6" w:rsidP="004E6BE6">
      <w:pPr>
        <w:pStyle w:val="Heading1"/>
        <w:rPr>
          <w:rtl/>
        </w:rPr>
      </w:pPr>
      <w:r>
        <w:rPr>
          <w:rFonts w:hint="cs"/>
          <w:rtl/>
        </w:rPr>
        <w:t>اقدام اثرگذار</w:t>
      </w:r>
    </w:p>
    <w:p w14:paraId="028B7EBB" w14:textId="77777777" w:rsidR="004E6BE6" w:rsidRDefault="004E6BE6" w:rsidP="004E6BE6">
      <w:pPr>
        <w:rPr>
          <w:rtl/>
        </w:rPr>
      </w:pPr>
      <w:r>
        <w:rPr>
          <w:rFonts w:hint="cs"/>
          <w:rtl/>
        </w:rPr>
        <w:t>اين راهكارها زماني مفيد هستند كه «اثرگذار» باشند. «اقدام اثرگذار» راهكاري است كه مي‌تواند نسبت درست و قابل قبولي را بين راهبردهاي نظري با واقعيت‌هاي خارجي برقرار سازد. يعني به نحوي از قوانين علمي و اجتماعي استفاده كند كه نتيجه آن راهكار حركت در جهتي باشد كه راهبردها مشخّص ساخته‌اند.</w:t>
      </w:r>
    </w:p>
    <w:p w14:paraId="3C898747" w14:textId="77777777" w:rsidR="004E6BE6" w:rsidRDefault="004E6BE6" w:rsidP="004E6BE6">
      <w:pPr>
        <w:pStyle w:val="Heading1"/>
        <w:rPr>
          <w:rtl/>
        </w:rPr>
      </w:pPr>
      <w:r>
        <w:rPr>
          <w:rFonts w:hint="cs"/>
          <w:rtl/>
        </w:rPr>
        <w:lastRenderedPageBreak/>
        <w:t>برنامه</w:t>
      </w:r>
    </w:p>
    <w:p w14:paraId="0317833E" w14:textId="77777777" w:rsidR="004E6BE6" w:rsidRDefault="004E6BE6" w:rsidP="004E6BE6">
      <w:pPr>
        <w:rPr>
          <w:rtl/>
        </w:rPr>
      </w:pPr>
      <w:r>
        <w:rPr>
          <w:rFonts w:hint="cs"/>
          <w:rtl/>
        </w:rPr>
        <w:t>مجموعه راهكارها يا همان اقدامات را «برنامه» گويند برنامه مجموعه‌اي از راهكارهاست كه مبتني بر راهبردها شكل‌گرفته‌اند و البته زمان‌دار هستند. «برنامه عملياتي» مشخّص مي‌كند كه در چه زماني چه كارهايي بايد انجام شود كه محصول آن تحقق سياست‌هايي باشد كه بر اساس راهبردها تعيين جهت شده‌اند.</w:t>
      </w:r>
    </w:p>
    <w:p w14:paraId="3812A0D7" w14:textId="77777777" w:rsidR="004E6BE6" w:rsidRDefault="004E6BE6" w:rsidP="004E6BE6">
      <w:pPr>
        <w:pStyle w:val="Heading1"/>
        <w:rPr>
          <w:rtl/>
        </w:rPr>
      </w:pPr>
      <w:r>
        <w:rPr>
          <w:rFonts w:hint="cs"/>
          <w:rtl/>
        </w:rPr>
        <w:t>تفكر راهبردي</w:t>
      </w:r>
    </w:p>
    <w:p w14:paraId="3DB11E3E" w14:textId="77777777" w:rsidR="004E6BE6" w:rsidRDefault="004E6BE6" w:rsidP="004E6BE6">
      <w:pPr>
        <w:rPr>
          <w:rtl/>
        </w:rPr>
      </w:pPr>
      <w:r>
        <w:rPr>
          <w:rFonts w:hint="cs"/>
          <w:rtl/>
        </w:rPr>
        <w:t xml:space="preserve">همه كارهايي كه بشر مي‌تواند انجام دهد به دو گونه قابل تقسيم است: يا «جلوي پا»ي خود را نگاه كند، تا به چاله و چاه نيافتد و با اين نگاه حركت كند. يا ابتدا به «دور دست» بنگرد و يك مقصدي را نشان كند، سپس برنامه‌اي براي حركت تنظيم نمايد. معلوم است در رويكرد اول ممكن است زمان زيادي راه برود، ولي دوباره خود را سرجاي اول بيابد، اگر حركت او دوراني يا مارپيچ شود. اما اگر «تفكر راهبردي» داشته باشد و ابتدا «قلّه»اي را مدّ نظر قرار دهد، قطب‌نماي خود را به آن سمت تنظيم كند و بعد حركت نمايد، حتي اگر حركت او كند هم باشد، همواره به پيش مي‌رود و فاصله او تا مقصد قطعاً پيوسته كم و كمتر خواهد شد. </w:t>
      </w:r>
      <w:r>
        <w:rPr>
          <w:rFonts w:hint="eastAsia"/>
          <w:rtl/>
        </w:rPr>
        <w:t>«</w:t>
      </w:r>
      <w:r>
        <w:rPr>
          <w:rFonts w:hint="cs"/>
          <w:rtl/>
        </w:rPr>
        <w:t>تفكر</w:t>
      </w:r>
      <w:r>
        <w:rPr>
          <w:rtl/>
        </w:rPr>
        <w:t xml:space="preserve"> </w:t>
      </w:r>
      <w:r>
        <w:rPr>
          <w:rFonts w:hint="cs"/>
          <w:rtl/>
        </w:rPr>
        <w:t>راهبردي</w:t>
      </w:r>
      <w:r>
        <w:rPr>
          <w:rFonts w:hint="eastAsia"/>
          <w:rtl/>
        </w:rPr>
        <w:t>»</w:t>
      </w:r>
      <w:r>
        <w:rPr>
          <w:rFonts w:hint="cs"/>
          <w:rtl/>
        </w:rPr>
        <w:t xml:space="preserve"> يعني پيش انداختن </w:t>
      </w:r>
      <w:r w:rsidR="0094734C">
        <w:rPr>
          <w:rFonts w:hint="cs"/>
          <w:rtl/>
        </w:rPr>
        <w:t>مطالعات نظري حاكم بر جهت‌يابي، پيش از هر «برنامه‌ريزي».</w:t>
      </w:r>
    </w:p>
    <w:p w14:paraId="4EE1FB9A" w14:textId="77777777" w:rsidR="0094734C" w:rsidRDefault="00CC469E" w:rsidP="00CC469E">
      <w:pPr>
        <w:pStyle w:val="Heading1"/>
        <w:rPr>
          <w:rtl/>
        </w:rPr>
      </w:pPr>
      <w:r>
        <w:rPr>
          <w:rFonts w:hint="cs"/>
          <w:rtl/>
        </w:rPr>
        <w:t>مسأله اجتماعي</w:t>
      </w:r>
    </w:p>
    <w:p w14:paraId="4E7E1CEF" w14:textId="77777777" w:rsidR="00CC469E" w:rsidRDefault="00CC469E" w:rsidP="00CC469E">
      <w:pPr>
        <w:rPr>
          <w:rtl/>
        </w:rPr>
      </w:pPr>
      <w:r>
        <w:rPr>
          <w:rFonts w:hint="cs"/>
          <w:rtl/>
        </w:rPr>
        <w:t>هنگامي كه فرد «قصد» حركت مي‌كند به معناي اين است كه «مشكلي» او را وادار به جابه‌جايي كرده است. در غير اين صورت كه «ماندن» هميشه كم‌هزينه‌تر است. يك نظام نيز پيوسته با مشكلاتي مواجه مي‌شود كه وقتي «عموميت» پيدا كنند تبديل به «مسأله» مي‌شوند. «مسأله» مشكلي‌ست كه بخش بزرگي از افراد جامعه را درگير خود كرده باشد. اين مسائل مي‌توانند فرهنگي، اقتصادي، سياسي و يا حتي چندبخشي باشند:‌ سياسي و اقتصادي.</w:t>
      </w:r>
    </w:p>
    <w:p w14:paraId="5728DC6E" w14:textId="77777777" w:rsidR="00CC469E" w:rsidRDefault="00CC469E" w:rsidP="00CC469E">
      <w:pPr>
        <w:pStyle w:val="Heading1"/>
        <w:rPr>
          <w:rtl/>
        </w:rPr>
      </w:pPr>
      <w:r>
        <w:rPr>
          <w:rFonts w:hint="cs"/>
          <w:rtl/>
        </w:rPr>
        <w:t>مسأله راهبردي</w:t>
      </w:r>
    </w:p>
    <w:p w14:paraId="559D5F78" w14:textId="77777777" w:rsidR="00CC469E" w:rsidRDefault="00CC469E" w:rsidP="00CC469E">
      <w:pPr>
        <w:rPr>
          <w:rtl/>
        </w:rPr>
      </w:pPr>
      <w:r>
        <w:rPr>
          <w:rFonts w:hint="cs"/>
          <w:rtl/>
        </w:rPr>
        <w:t>همين مسائل اجتماعي وقتي آن‌قدر بزرگ و چالش‌برانگيز باشند كه بتوانند مسير حركت نظام را تغيير دهند تبديل به «مسأله راهبردي» مي‌شوند. گاهي مسأله به قدري كوچك است كه با طراحي راهكارها و اقدامات بخشي مي‌توان آن را حل كرده و از پيش پاي نظام برداشت. اما اگر مسأله‌اي باشد كه بتواند يك نظام اسلامي را پس از يك يا دو دهه تبديل به يك نظام ليبرال نمايد، يعني جهت حركت نظام را تغيير دهد، تبديل به مسأله‌اي مي‌شود كه بايد در جهت‌گيري‌ها يعني در طراحي «راهبردها» به آن انديشيد و براي آن راهبرد مناسبي يافت.</w:t>
      </w:r>
    </w:p>
    <w:p w14:paraId="116473EF" w14:textId="77777777" w:rsidR="00CC469E" w:rsidRDefault="00CC469E" w:rsidP="00CC469E">
      <w:pPr>
        <w:pStyle w:val="Heading1"/>
        <w:rPr>
          <w:rtl/>
        </w:rPr>
      </w:pPr>
      <w:r>
        <w:rPr>
          <w:rFonts w:hint="cs"/>
          <w:rtl/>
        </w:rPr>
        <w:t>سند راهبردي</w:t>
      </w:r>
    </w:p>
    <w:p w14:paraId="55C05C88" w14:textId="77777777" w:rsidR="00CC469E" w:rsidRDefault="00CC469E" w:rsidP="00CC469E">
      <w:pPr>
        <w:rPr>
          <w:rtl/>
        </w:rPr>
      </w:pPr>
      <w:r>
        <w:rPr>
          <w:rFonts w:hint="cs"/>
          <w:rtl/>
        </w:rPr>
        <w:t xml:space="preserve">وقتي گروه‌هاي زيادي، نهادهاي فراواني، افراد متعدّدي درگير يك عمليات باشد، براي فراموش نشدن مسير حركت ضرورت پيدا مي‌كند تا «سند» توليد شود. كاربرد واقعي «سند» اين است كه همواره در پيش‌روي ماست، به ديوار نصب مي‌كنيم و مدام به آن مي‌نگريم، همه فعالان در آن عرصه در هر برنامه‌ريزي به آن مراجعه مي‌كنند و سرلوحه طراحي‌هاي خود قرار مي‌دهند. «سند راهبردي» نيز همين رويكرد را دارد كه معمولاً با تجميع «چشم‌انداز»، «اهداف آرماني» و «اصول راهبردي» </w:t>
      </w:r>
      <w:r w:rsidR="004D0207">
        <w:rPr>
          <w:rFonts w:hint="cs"/>
          <w:rtl/>
        </w:rPr>
        <w:t>توليد مي‌شود. تصويب اين سند، الزامي ايجاد مي‌كند تا همه بخش‌ها را همسو نگه دارد.</w:t>
      </w:r>
    </w:p>
    <w:p w14:paraId="4FAABCE6" w14:textId="77777777" w:rsidR="004D0207" w:rsidRDefault="00513E1D" w:rsidP="00513E1D">
      <w:pPr>
        <w:pStyle w:val="Heading1"/>
        <w:rPr>
          <w:rtl/>
        </w:rPr>
      </w:pPr>
      <w:r>
        <w:rPr>
          <w:rFonts w:hint="cs"/>
          <w:rtl/>
        </w:rPr>
        <w:t>گزارش راهبردي</w:t>
      </w:r>
    </w:p>
    <w:p w14:paraId="641DA82E" w14:textId="77777777" w:rsidR="00513E1D" w:rsidRDefault="00513E1D" w:rsidP="00513E1D">
      <w:pPr>
        <w:rPr>
          <w:rtl/>
        </w:rPr>
      </w:pPr>
      <w:r>
        <w:rPr>
          <w:rFonts w:hint="cs"/>
          <w:rtl/>
        </w:rPr>
        <w:t>گزارش هميشه بيانگر «گذشته» است، همان‌قدر كه «سند» توصيف‌كننده آينده. يك گزارش مي‌تواند كارهاي انجام شده را بيان كند و ميزان تحقق و دستيابي به اهداف تعيين‌شده را. اما همين گزارش اگر «ميزان حركت در جهت» مشخّص شده در راهبردها را نشان دهد يك «گزارش راهبردي» محسوب مي‌شود. از طريق شاخص‌هاي آماري مي‌توان فاصله تا مقصد را معيّن نمود. مثلاً اگر شاخص ما در مسأله راهبردي جمعيت «نرخ رشد جمعيت» باشد، با ارزيابي اين شاخص و اندازه‌گيري آن و ملاحظه ارتباط آن با فعاليت‌هاي به انجام رسيده مي‌توانيم ميزان پيشرفت و حركت در جهت سياست فرزندآوري را بيان كنيم.</w:t>
      </w:r>
    </w:p>
    <w:p w14:paraId="60C9EABD" w14:textId="77777777" w:rsidR="00513E1D" w:rsidRDefault="00513E1D" w:rsidP="00513E1D">
      <w:pPr>
        <w:pStyle w:val="Heading1"/>
        <w:rPr>
          <w:rtl/>
        </w:rPr>
      </w:pPr>
      <w:r>
        <w:rPr>
          <w:rFonts w:hint="cs"/>
          <w:rtl/>
        </w:rPr>
        <w:t>سند سياستي</w:t>
      </w:r>
    </w:p>
    <w:p w14:paraId="3D3F426E" w14:textId="77777777" w:rsidR="00513E1D" w:rsidRDefault="00513E1D" w:rsidP="00513E1D">
      <w:pPr>
        <w:rPr>
          <w:rtl/>
        </w:rPr>
      </w:pPr>
      <w:r>
        <w:rPr>
          <w:rFonts w:hint="cs"/>
          <w:rtl/>
        </w:rPr>
        <w:t>با تعريفي كه براي «سند راهبردي» بيان شد، فهم «سند سياستي» هم دشوار نخواهد بود. آن نيز يك «سند»‌ است، اما در مقامي بالاتر و بدون ورود به راهبردها، صرفاً «سياست‌هاي كلّي» يك نظام را در هر مسأله‌اي مشخّص مي‌سازد. با اين هدف كه در طراحي اصول راهبردي هر بخش از نظام مورد توجه قرار گيرد و اصطلاحاً نصب‌العين باشد. معمولاً هم مورد استفاده گروه‌هايي‌ست كه وظيفه طراحي راهبردها در هر نهاد را دارند.</w:t>
      </w:r>
    </w:p>
    <w:p w14:paraId="3EE453C6" w14:textId="77777777" w:rsidR="00513E1D" w:rsidRDefault="00272964" w:rsidP="00513E1D">
      <w:pPr>
        <w:pStyle w:val="Heading1"/>
        <w:rPr>
          <w:rtl/>
        </w:rPr>
      </w:pPr>
      <w:r>
        <w:rPr>
          <w:rFonts w:hint="cs"/>
          <w:rtl/>
        </w:rPr>
        <w:t>نظريه سياستي</w:t>
      </w:r>
    </w:p>
    <w:p w14:paraId="586E964A" w14:textId="77777777" w:rsidR="00272964" w:rsidRDefault="00272964" w:rsidP="00272964">
      <w:pPr>
        <w:rPr>
          <w:rtl/>
        </w:rPr>
      </w:pPr>
      <w:r>
        <w:rPr>
          <w:rFonts w:hint="cs"/>
          <w:rtl/>
        </w:rPr>
        <w:t>سياست‌گذاري يك كار نظري است و طبيعتاً مبتني بر رويكردي‌ست كه نهاد سياست‌گذار نسبت به «واقعيت» دارد. ايدئولوژي و جهان‌بيني تأثير مستقيمي در سياست‌گذاري دارد. اگر نظامي رويكرد ديني داشته باشد، آخرت‌انديشي و توجه به معاد را بخشي از زندگي اجتماعي انسان مي‌داند. اين نظام قطعاً در طراحي سياست‌ها بايد اين نگرش را در نظر بگيرد. تمامي مباني و نظريه‌هاي كلان كه در سياست‌گذاري اثر دارند به عنوان «نظريه سياستي» شناخته مي‌شوند كه ضرورت دارد در روند توليد سياست‌ها نقش داشته باشند.</w:t>
      </w:r>
    </w:p>
    <w:p w14:paraId="25887A0A" w14:textId="77777777" w:rsidR="00272964" w:rsidRDefault="00272964" w:rsidP="00272964">
      <w:pPr>
        <w:pStyle w:val="Heading1"/>
        <w:rPr>
          <w:rtl/>
        </w:rPr>
      </w:pPr>
      <w:r>
        <w:rPr>
          <w:rFonts w:hint="cs"/>
          <w:rtl/>
        </w:rPr>
        <w:t>نظريه علمي</w:t>
      </w:r>
    </w:p>
    <w:p w14:paraId="7FBE8D59" w14:textId="77777777" w:rsidR="00272964" w:rsidRDefault="00272964" w:rsidP="00272964">
      <w:pPr>
        <w:rPr>
          <w:rtl/>
        </w:rPr>
      </w:pPr>
      <w:r>
        <w:rPr>
          <w:rFonts w:hint="cs"/>
          <w:rtl/>
        </w:rPr>
        <w:t>رويكرد علم به «واقعيت» است. علم و دانش به دنبال يافتن روابط اسباب و مسببات در عالم است.</w:t>
      </w:r>
      <w:r w:rsidR="0065000E">
        <w:rPr>
          <w:rFonts w:hint="cs"/>
          <w:rtl/>
        </w:rPr>
        <w:t xml:space="preserve"> هر رابطه‌اي كه پيدا شود مي‌تواند راهي را براي «زندگي بهتر» ارائه نمايد. زيرا انسان با استفاده از اين روابط است كه مي‌تواند «تغيير» ايجاد كند و حركت نمايد. هنگامي كه يك دانشمند حدس خود را در قالب «فرضيه» طرح نمايد و بتواند با «آزمون» آن را به اثبات برساند، به يك «نظريه علمي» دست‌يافته است. در يك نظام، اين نظريه‌هاي علمي پايگاهي دانشي فراهم مي‌كنند كه بتواند هم در توليد سياست‌ها و هم راهبردها و البته راهكارها و اقدامات نقش داشته و اثرگذار باشد.</w:t>
      </w:r>
    </w:p>
    <w:p w14:paraId="4C41869E" w14:textId="77777777" w:rsidR="0065000E" w:rsidRDefault="0065000E" w:rsidP="0065000E">
      <w:pPr>
        <w:pStyle w:val="Heading1"/>
        <w:rPr>
          <w:rtl/>
        </w:rPr>
      </w:pPr>
      <w:r>
        <w:rPr>
          <w:rFonts w:hint="cs"/>
          <w:rtl/>
        </w:rPr>
        <w:t>نظريه پايه</w:t>
      </w:r>
    </w:p>
    <w:p w14:paraId="08D63BD6" w14:textId="77777777" w:rsidR="0065000E" w:rsidRDefault="00AD50F2" w:rsidP="0065000E">
      <w:pPr>
        <w:rPr>
          <w:rtl/>
        </w:rPr>
      </w:pPr>
      <w:r>
        <w:rPr>
          <w:rFonts w:hint="cs"/>
          <w:rtl/>
        </w:rPr>
        <w:t>وقتي درباره «انسان» سخن مي‌گوييم، مي‌دانيم كه «مطلق» نيست</w:t>
      </w:r>
      <w:r w:rsidR="00965CE9">
        <w:rPr>
          <w:rFonts w:hint="cs"/>
          <w:rtl/>
        </w:rPr>
        <w:t>، پس نمي‌تواند تمام روابط هستي را به صورت «قطعي» كشف و بيان نمايد، به اصطلاح «كما هو حقّه» يا «كما هو هو» يا «كماهي». بنابراين ميان دانشمندان در دستيابي به نظريه‌هاي علمي اختلاف حاصل مي‌شود و اين با توجه به ناتواني و ضعف‌هاي ادراكي انسان طبيعي است. اما «حركت» ابهام‌پذير نيست و نمي‌تواند مردّد باشد. در طراحي سياست، راهبرد و يا راهكار نمي‌توان گفت: اگر نظريه الف راهبرد ب و اگر نظريه جيم راهبرد دال. اين دستورات بايد «قطعي» و معيّن باشند. از اين رو، لازم است از ميان نظريه‌هاي علمي معتبر و رايج يكي را برگزيد و آن را «نظريه پايه» قرار داد. بر اساس اين نظريه مقبول و آثار و لوازمات آن «چارچوب» يا قالبي نظري ساخته مي‌شود كه «چارچوب نظري» يا «چارچوب مفهومي» ما را شكل مي‌دهد. اين قالب و «چارچوب» الگويي را در اختيار ما قرار مي‌دهند كه به عنوان «الگوي كلان» در سياست‌گذاري استفاده مي‌شوند و يا به عنوان «الگوي راهبردي» در توليد اصول راهبردي و يا حتي به عنوان «الگوي عملياتي» در طراحي راهكارها و برنامه‌ها. بدون انتخاب و برگزيدن يك «نظريه پايه» نمي‌توانيم حركت را آغاز كنيم. انسان مردّد پيوسته تغيير مقصد (چشم‌انداز و سياست) مي‌دهد، تغيير مسير (راهبرد) مي‌دهد و پيشرفت نمي‌كند.</w:t>
      </w:r>
    </w:p>
    <w:p w14:paraId="1DC22B74" w14:textId="77777777" w:rsidR="00965CE9" w:rsidRDefault="00722AB4" w:rsidP="00965CE9">
      <w:pPr>
        <w:pStyle w:val="Heading1"/>
        <w:rPr>
          <w:rtl/>
        </w:rPr>
      </w:pPr>
      <w:r>
        <w:rPr>
          <w:rFonts w:hint="cs"/>
          <w:rtl/>
        </w:rPr>
        <w:t>سياست‌سازي</w:t>
      </w:r>
    </w:p>
    <w:p w14:paraId="3D09C926" w14:textId="77777777" w:rsidR="00722AB4" w:rsidRDefault="00722AB4" w:rsidP="00722AB4">
      <w:pPr>
        <w:rPr>
          <w:rtl/>
        </w:rPr>
      </w:pPr>
      <w:r>
        <w:rPr>
          <w:rFonts w:hint="cs"/>
          <w:rtl/>
        </w:rPr>
        <w:t xml:space="preserve">مطلوب اين است كه «تصميم‌گيران» خود قادر به انديشه‌ورزي و محاسبه تمامي احتمالات و گزينه‌ها باشند، نظريه‌پرداز باشند، تا بتوانند بهترين سياست را برگزينند. اما در يك نظام اجتماعي كه سازوكارهاي فراوان و بخش‌هاي متعدّد سياسي، فرهنگي و اقتصادي دارد، عملاً اين امر ناممكن است. مسئولان و مديران «تصميم‌گير» هستند، نخبگاني كه </w:t>
      </w:r>
      <w:r w:rsidR="00513F15">
        <w:rPr>
          <w:rFonts w:hint="cs"/>
          <w:rtl/>
        </w:rPr>
        <w:t>در «اداره» قدرت دارند و به اين جهت بر آن كرسي‌ها تكيه زده‌اند. اين‌جاست كه ميان «تصميم‌گيري» و «تصميم‌سازي» انفكاك حاصل مي‌شود. گروهي از انديشه‌ورزان كه به دور از مسند و جايگاه سياسي هستند بايد با مطالعه گسترده و بررسي نظريه‌هاي علمي، نظريه‌پايه و الگوهاي مطلوب را شناسايي كنند و براي مسئولان امر تبيين نمايند. اين فاصله از جايگاه سياسي فرصت بيشتري براي تحقيق و مطالعه فراهم مي‌آورد. اين دست از دانشمندان هستند كه وظيفه «سياست‌سازي» را بر عهده دارند. «سياست‌سازان» فضاي علمي را براي «سياست‌گذاران» روشن و واضح مي‌سازند، تا آن‌ها بتوانند با درايت «اجرايي» خود بهترين سياست را برگزينند و جامعه را هدايت نمايند.</w:t>
      </w:r>
    </w:p>
    <w:p w14:paraId="3B767FA3" w14:textId="77777777" w:rsidR="00513F15" w:rsidRDefault="00513F15" w:rsidP="00513F15">
      <w:pPr>
        <w:pStyle w:val="Heading1"/>
        <w:rPr>
          <w:rtl/>
        </w:rPr>
      </w:pPr>
      <w:r>
        <w:rPr>
          <w:rFonts w:hint="cs"/>
          <w:rtl/>
        </w:rPr>
        <w:t>مطالعات راهبردي</w:t>
      </w:r>
    </w:p>
    <w:p w14:paraId="4C0B58F8" w14:textId="77777777" w:rsidR="00513F15" w:rsidRDefault="00513F15" w:rsidP="00513F15">
      <w:pPr>
        <w:rPr>
          <w:rtl/>
        </w:rPr>
      </w:pPr>
      <w:r>
        <w:rPr>
          <w:rFonts w:hint="cs"/>
          <w:rtl/>
        </w:rPr>
        <w:t>هر بررسي و تحقيقي كه رويكردي به «جهت» حركت داشته باشد يك «مطالعه راهبردي» محسوب مي‌شود. فرضاً اگر سياستگذاري بر محور «رشد فزاينده جمعيت» شكل گيرد، نيازمند راهبردهايي در عرصه فرهنگي‌ست تا «فرزندآوري» را افزايش دهد. كاوشگراني به تحقيق و پژوهش مي‌پردازند تا اصولي را طراحي كنند كه مشخّص سازند مقصد فرهنگي ما كجاست و چه الگوي نهايي براي فرهنگ نظام بايد در نظر بگيريم تا «فرزندآوري» محقّق شود. اين اصول اگر مبناي طراحي راهكارها و اقدامات قرار گيرد، بايد بتواند فرهنگ را به سمت آن مقصد نهايي تغيير جهت دهد.</w:t>
      </w:r>
    </w:p>
    <w:p w14:paraId="6A610A3E" w14:textId="77777777" w:rsidR="00513F15" w:rsidRDefault="0088021C" w:rsidP="004960A3">
      <w:pPr>
        <w:pStyle w:val="Heading1"/>
        <w:rPr>
          <w:rtl/>
        </w:rPr>
      </w:pPr>
      <w:r>
        <w:rPr>
          <w:rFonts w:hint="cs"/>
          <w:rtl/>
        </w:rPr>
        <w:t>مديريت راهبردي</w:t>
      </w:r>
    </w:p>
    <w:p w14:paraId="27D2D8CC" w14:textId="77777777" w:rsidR="0088021C" w:rsidRDefault="0088021C" w:rsidP="0088021C">
      <w:pPr>
        <w:rPr>
          <w:rtl/>
        </w:rPr>
      </w:pPr>
      <w:r>
        <w:rPr>
          <w:rFonts w:hint="cs"/>
          <w:rtl/>
        </w:rPr>
        <w:t>همان‌قدر كه «تفكر راهبردي» بيانگر توجه به «سياست‌‌ها» و «راهبردها» پيش از هر اقدامي‌ست، «مديريت راهبردي» نيز حاكي از همين وصف در عرصه «مديريت» است. اگر اين مفاهيم در عرصه مديريت به كار گرفته شود و در اداره يك سازمان يا نهاد، رويكرد حاكم توجه به سياست‌ها و راهبردها باشد، يك «مديريت راهبردي» را شكل مي‌دهد. حضور بخش‌هايي در مديريت سازمان كه مسئول طرح‌ريزي راهبردها و تحقق آن‌ها باشند.</w:t>
      </w:r>
    </w:p>
    <w:p w14:paraId="5ED3CFA4" w14:textId="77777777" w:rsidR="0088021C" w:rsidRDefault="0088021C" w:rsidP="0088021C">
      <w:pPr>
        <w:pStyle w:val="Heading1"/>
        <w:rPr>
          <w:rtl/>
        </w:rPr>
      </w:pPr>
      <w:r>
        <w:rPr>
          <w:rFonts w:hint="cs"/>
          <w:rtl/>
        </w:rPr>
        <w:t>تصميم‌سازي</w:t>
      </w:r>
    </w:p>
    <w:p w14:paraId="7ED1B5FE" w14:textId="77777777" w:rsidR="0088021C" w:rsidRDefault="0088021C" w:rsidP="0088021C">
      <w:pPr>
        <w:rPr>
          <w:rtl/>
        </w:rPr>
      </w:pPr>
      <w:r>
        <w:rPr>
          <w:rFonts w:hint="cs"/>
          <w:rtl/>
        </w:rPr>
        <w:t>شرح اين اصطلاح در «سياست‌سازي» بيان شده و نيازي به تكرار ندارد كه گستردگي موضوعات اجتماعي و تعدّد نهادهاي مؤثر منجر به تفكيك «تصميم» به دو مقوله «تصميم‌گيري» و «تصميم‌سازي» شده است. بخش اول بر عهده مديران و بخش دوم بر عهده دانشمندان گذاشته مي‌شود.</w:t>
      </w:r>
    </w:p>
    <w:p w14:paraId="4E3FD54C" w14:textId="77777777" w:rsidR="0088021C" w:rsidRDefault="0088021C" w:rsidP="0088021C">
      <w:pPr>
        <w:pStyle w:val="Heading1"/>
        <w:rPr>
          <w:rtl/>
        </w:rPr>
      </w:pPr>
      <w:r>
        <w:rPr>
          <w:rFonts w:hint="cs"/>
          <w:rtl/>
        </w:rPr>
        <w:t>نگاشت نهادي</w:t>
      </w:r>
    </w:p>
    <w:p w14:paraId="01E6A08D" w14:textId="77777777" w:rsidR="0088021C" w:rsidRDefault="0088021C" w:rsidP="0088021C">
      <w:pPr>
        <w:rPr>
          <w:rtl/>
        </w:rPr>
      </w:pPr>
      <w:r>
        <w:rPr>
          <w:rFonts w:hint="cs"/>
          <w:rtl/>
        </w:rPr>
        <w:t>از اصطلاحاتي كه به تازگي ترجمه شده و ورود پيدا كرده است</w:t>
      </w:r>
      <w:r w:rsidR="00870ABE">
        <w:rPr>
          <w:rFonts w:hint="cs"/>
          <w:rtl/>
        </w:rPr>
        <w:t xml:space="preserve"> (</w:t>
      </w:r>
      <w:r w:rsidR="00870ABE" w:rsidRPr="00870ABE">
        <w:t>Institutional Mapping Methodology</w:t>
      </w:r>
      <w:r w:rsidR="00870ABE">
        <w:rPr>
          <w:rFonts w:hint="cs"/>
          <w:rtl/>
        </w:rPr>
        <w:t>)</w:t>
      </w:r>
      <w:r>
        <w:rPr>
          <w:rFonts w:hint="cs"/>
          <w:rtl/>
        </w:rPr>
        <w:t xml:space="preserve"> و تركيبي از «نگاشت» به معناي ارتباط و «نهاد» </w:t>
      </w:r>
      <w:r w:rsidR="00870ABE">
        <w:rPr>
          <w:rFonts w:hint="cs"/>
          <w:rtl/>
        </w:rPr>
        <w:t xml:space="preserve">به معناي سازمان </w:t>
      </w:r>
      <w:r>
        <w:rPr>
          <w:rFonts w:hint="cs"/>
          <w:rtl/>
        </w:rPr>
        <w:t xml:space="preserve">است. </w:t>
      </w:r>
      <w:r w:rsidR="00870ABE">
        <w:rPr>
          <w:rFonts w:hint="cs"/>
          <w:rtl/>
        </w:rPr>
        <w:t>رويكردي‌ست كه فضاي كسب و كار يا فعاليت نهاد را ترسيم مي‌كند. نشان مي‌دهد كدام فعاليت‌ها چه آثاري دارند و يا چه فرصت‌ها و تهديدهايي مي‌توانند بر فعاليت سازمان تأثير بگذارند. مجموعه اين روابط وقتي حول برنامه‌ريزي يك سازمان در نظر گرفته شود، به طراحي زنجيره‌اي از فعاليت‌ها منتهي مي‌شود كه برنامه عملياتي آن سازمان را شكل مي‌دهد. آن را مي‌توان روشي براي دستيابي به راهبردها و اقدامات دانست، در كنار ساير روش‌هاي مرسوم در طراحي راهبرد.</w:t>
      </w:r>
    </w:p>
    <w:p w14:paraId="07A9EFD5" w14:textId="77777777" w:rsidR="00870ABE" w:rsidRDefault="00870ABE" w:rsidP="00870ABE">
      <w:pPr>
        <w:pStyle w:val="Heading1"/>
        <w:rPr>
          <w:rtl/>
        </w:rPr>
      </w:pPr>
      <w:r>
        <w:rPr>
          <w:rFonts w:hint="cs"/>
          <w:rtl/>
        </w:rPr>
        <w:t>برنامه‌ريزي راهبردي</w:t>
      </w:r>
    </w:p>
    <w:p w14:paraId="1D62711C" w14:textId="77777777" w:rsidR="00870ABE" w:rsidRDefault="00870ABE" w:rsidP="00870ABE">
      <w:pPr>
        <w:rPr>
          <w:rtl/>
        </w:rPr>
      </w:pPr>
      <w:r>
        <w:rPr>
          <w:rFonts w:hint="cs"/>
          <w:rtl/>
        </w:rPr>
        <w:t>مشابه آن‌چه در «مديريت راهبردي» و «تفكر راهبردي» بيان شد، اگر توليد برنامه‌هاي اجرايي و عملياتي يك نهاد مبتني بر راهبردها باشد و مسير درستي را از سياست‌ها آغاز كرده باشد، مي‌توان آن را «برنامه‌ريزي راهبردي» دانست. هر برنامه توصيف‌كننده فعاليت‌هايي‌ست كه بايد در زمان‌هاي معيّني به انجام برسند. فعاليت‌هايي كه توالي مشخصي دارند و برخي بايد به صورت موازي و هم‌زمان به انجام برسند. از نظر زمان و مدتي كه براي اجرا تعيين شده باشد، مي‌توان برنامه‌ها را به «كوتاه‌مدّت»، «ميان‌مدّت»‌ و «بلندمدّت» تقسيم كرد. برنامه‌هاي كوتاه‌مدّت معمولاً به فوريت‌ها مي‌پردازند، مانند: ساختماني كه روبه‌خرابي‌ست و الآن و فوراً نياز به گچ و خاك ديوارها و شمع‌گذاري موقت دارد، تا فعلاً بر سر ساكنان فرو نريزد. اما در بلندمدّت بايد برنامه‌اي طراحي شود كه ب</w:t>
      </w:r>
      <w:r w:rsidR="0059149F">
        <w:rPr>
          <w:rFonts w:hint="cs"/>
          <w:rtl/>
        </w:rPr>
        <w:t>توان آن را كوبيد و دوباره از نو زيربنا را ساخت و ساختمان را نوسازي كرد. در برنامه‌ريزي ميان‌مدّت هم بايد راهي پيدا كرد كه ساكنان آن بتوانند دوره نوسازي را در مكاني ديگر سپري نمايند.</w:t>
      </w:r>
    </w:p>
    <w:p w14:paraId="649A0884" w14:textId="77777777" w:rsidR="0059149F" w:rsidRDefault="0059149F" w:rsidP="0059149F">
      <w:pPr>
        <w:pStyle w:val="Heading1"/>
        <w:rPr>
          <w:rtl/>
        </w:rPr>
      </w:pPr>
      <w:r>
        <w:rPr>
          <w:rFonts w:hint="cs"/>
          <w:rtl/>
        </w:rPr>
        <w:t>رابطه دين و استراتژي</w:t>
      </w:r>
    </w:p>
    <w:p w14:paraId="04459A3E" w14:textId="77777777" w:rsidR="0059149F" w:rsidRDefault="0059149F" w:rsidP="0059149F">
      <w:pPr>
        <w:rPr>
          <w:rtl/>
        </w:rPr>
      </w:pPr>
      <w:r>
        <w:rPr>
          <w:rFonts w:hint="cs"/>
          <w:rtl/>
        </w:rPr>
        <w:t>در اين‌كه «جهت‌گيري» قطعاً بايد مقدّم بر «برنامه‌ريزي» باشد حتي در امور شخصي هم قابل انكار نيست. انساني كه به معاد ايمان دارد «برنامه» زندگي متفاوتي دارد با ديگري كه مرگ را پايان زندگي مي‌داند. تأثير «جهت» بر «برنامه» مفهوم عامي‌ست كه از «مديريت استراتژيك» فهميده مي‌شود. اما در گام عملي، وقتي در حال طراحي استراتژي يا همان اصول راهبردي هستيم از روش‌ها و مدل‌هايي استفاده مي‌كنيم كه بهترين نتيجه را به ارمغان آورد. روش‌هايي امروزه در جهان طراحي شده‌اند كه بايد با نگرش ديني تطبيق يابند. اگر رويكرد دنياپرستانه و مادي‌انگارانه دارند اصلاح شده و از اجزاي آن‌ها در طراحي استراتژيك با رويكرد ديني استفاده شود.</w:t>
      </w:r>
    </w:p>
    <w:p w14:paraId="7D3AF611" w14:textId="77777777" w:rsidR="006501F5" w:rsidRDefault="006501F5" w:rsidP="006501F5">
      <w:pPr>
        <w:pStyle w:val="Heading1"/>
        <w:rPr>
          <w:rtl/>
        </w:rPr>
      </w:pPr>
      <w:r>
        <w:rPr>
          <w:rFonts w:hint="cs"/>
          <w:rtl/>
        </w:rPr>
        <w:t>جايگاه حوزه علميه در مديريت راهبردي</w:t>
      </w:r>
    </w:p>
    <w:p w14:paraId="59FED732" w14:textId="77777777" w:rsidR="006501F5" w:rsidRDefault="006501F5" w:rsidP="006501F5">
      <w:pPr>
        <w:rPr>
          <w:rtl/>
        </w:rPr>
      </w:pPr>
      <w:r>
        <w:rPr>
          <w:rFonts w:hint="cs"/>
          <w:rtl/>
        </w:rPr>
        <w:t>ماداميكه «جهت» حاكم بر «برنامه» است و راهبردها از درون سياست‌ها توليد مي‌شوند، با توجه به اين‌كه سياست‌ها مبتني بر نظريه پايه بوده و نظريه پايه نيز مقبول‌ترين نظريه علمي، نظريه‌هاي علمي را نهادهاي علمي توليد مي‌كنند، نهادي كه مهم‌ترين نظريه‌هاي علمي را توليد مي‌نمايد از اركان اساسي دستيابي به سياست‌ها و راهبردها خواهد بود. بنابراين نهاد علمي توليد نظريه‌هاي ديني در نظامي كه مبتني بر دين است جايگاه مهمي پيدا خواهد كرد. حوزه‌هاي علميه نظريه‌هايي را ارائه مي‌كنند كه نسبت انسان و جامعه انساني را با جهان هستي بيان مي‌نمايد. اگر اين نظريه‌ها مبناي دستيابي به سياست و راهبرد قرار نگيرند، جهت حركت نظام نمي‌تواند ديني باشد.</w:t>
      </w:r>
    </w:p>
    <w:p w14:paraId="20927E18" w14:textId="77777777" w:rsidR="006501F5" w:rsidRDefault="006501F5" w:rsidP="006501F5">
      <w:pPr>
        <w:pStyle w:val="Heading1"/>
        <w:rPr>
          <w:rtl/>
        </w:rPr>
      </w:pPr>
      <w:r>
        <w:rPr>
          <w:rFonts w:hint="cs"/>
          <w:rtl/>
        </w:rPr>
        <w:t>ساختار حوزه علميه</w:t>
      </w:r>
    </w:p>
    <w:p w14:paraId="2EFC2BE5" w14:textId="77777777" w:rsidR="006501F5" w:rsidRDefault="006501F5" w:rsidP="006501F5">
      <w:pPr>
        <w:rPr>
          <w:rtl/>
        </w:rPr>
      </w:pPr>
      <w:r>
        <w:rPr>
          <w:rFonts w:hint="cs"/>
          <w:rtl/>
        </w:rPr>
        <w:t xml:space="preserve">هر نهاد علمي تجميعي از سه فعاليت عمده است: پژوهش، آموزش و ابلاغ. هر سه لازم و بدون آن‌ها ناممكن. پژوهشگران در مرزهاي دانش مي‌انديشند و نظريه‌هاي جديد توليد مي‌كنند. آن‌ها را به اساتيد تحويل مي‌دهند تا در گستره‌اي وسيع آموزش داده شود. در نهايت نيز اين نظريه‌هاي رواج يافته بايد تبديل به مدل‌هايي براي استفاده در جامعه گردد، به عنوان مثال: پيشرفت‌هاي برق و الكترونيك به صنعت نزديك گردد، تا </w:t>
      </w:r>
      <w:r w:rsidR="003B3887">
        <w:rPr>
          <w:rFonts w:hint="cs"/>
          <w:rtl/>
        </w:rPr>
        <w:t>به توليد خودروهاي برقي منجر شود. «اجتهاد» و «مرجعيّت» در حوزه متولّي بخش نخست است. «نظام آموزشي حوزه» و «نظام تبليغي» آن نيز به دو بخش ديگر مي‌پردازند. اما با توجه به اين‌كه نظام اجتماعي كنوني سازوكار مورد نياز براي بهره‌گيري از حوزه علميه را ندارد، زيرا از ابتدايي كه روش‌هاي مديريتي نوين به كشور وارد شد، رابطه خود را با حوزه تعريف نكرد، حوزه ناگزير شده است كه بخش از نيروي انساني خود را در مديريت نفوذ دهد، تا بتواند نظريه‌هاي علمي خود را به كار اندازد. اگر مي‌بينيم افراد حوزوي در بخش‌هاي اجرايي حضور دارند، به دليل تعريف نشده بودن رابطه نظام مديريت كشور با حوزه علميه است. تبيين رابطه حوزه و نظام نيازمند سندي مستقل و البته محتاج بررسي‌ها و مطالعات بيشتري‌ست؛ رابطه‌اي كه هنوز تبديل به نظريه‌اي پايه براي مديريت استراتژيك نظام نشده است.</w:t>
      </w:r>
    </w:p>
    <w:p w14:paraId="1B2CCD7B" w14:textId="77777777" w:rsidR="007F793C" w:rsidRPr="007F793C" w:rsidRDefault="003B3887" w:rsidP="003B3887">
      <w:pPr>
        <w:ind w:firstLine="0"/>
        <w:jc w:val="center"/>
      </w:pPr>
      <w:r>
        <w:sym w:font="AGA Arabesque" w:char="F040"/>
      </w:r>
      <w:r>
        <w:t xml:space="preserve"> </w:t>
      </w:r>
      <w:r>
        <w:sym w:font="AGA Arabesque" w:char="F040"/>
      </w:r>
      <w:r>
        <w:t xml:space="preserve"> </w:t>
      </w:r>
      <w:r>
        <w:sym w:font="AGA Arabesque" w:char="F040"/>
      </w:r>
    </w:p>
    <w:sectPr w:rsidR="007F793C"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54978" w14:textId="77777777" w:rsidR="00700918" w:rsidRDefault="00700918" w:rsidP="00024D73">
      <w:pPr>
        <w:spacing w:after="0" w:line="240" w:lineRule="auto"/>
      </w:pPr>
      <w:r>
        <w:separator/>
      </w:r>
    </w:p>
  </w:endnote>
  <w:endnote w:type="continuationSeparator" w:id="0">
    <w:p w14:paraId="02DD5CE4" w14:textId="77777777" w:rsidR="00700918" w:rsidRDefault="00700918"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6A3A"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428BA611" wp14:editId="026EBAB0">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64CE" w14:textId="57FB697B"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C4974">
      <w:rPr>
        <w:rFonts w:ascii="Tunga" w:hAnsi="Tunga" w:cs="Tunga"/>
        <w:noProof/>
        <w:sz w:val="16"/>
        <w:szCs w:val="16"/>
      </w:rPr>
      <w:t>Mfahym-Rahbrdy-Movashah-Works.Docx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B61FA" w14:textId="77777777" w:rsidR="00700918" w:rsidRDefault="00700918" w:rsidP="0032771C">
      <w:pPr>
        <w:spacing w:after="0" w:line="240" w:lineRule="auto"/>
        <w:ind w:firstLine="0"/>
      </w:pPr>
      <w:r>
        <w:separator/>
      </w:r>
    </w:p>
  </w:footnote>
  <w:footnote w:type="continuationSeparator" w:id="0">
    <w:p w14:paraId="69A71BAE" w14:textId="77777777" w:rsidR="00700918" w:rsidRDefault="00700918"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D5FEE" w14:textId="59BDD91A"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6CFCA39D" wp14:editId="331DA849">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88698A"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0245BE22"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489BE083" w14:textId="77777777" w:rsidR="00D42D03" w:rsidRDefault="0067691A"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اسفند</w:t>
                          </w:r>
                          <w:r w:rsidR="00D42D03" w:rsidRPr="008B1317">
                            <w:rPr>
                              <w:rFonts w:cs="Titr" w:hint="cs"/>
                              <w:color w:val="548DD4" w:themeColor="text2" w:themeTint="99"/>
                              <w:sz w:val="12"/>
                              <w:szCs w:val="16"/>
                              <w:rtl/>
                            </w:rPr>
                            <w:t xml:space="preserve"> 1402</w:t>
                          </w:r>
                        </w:p>
                        <w:p w14:paraId="1F00EA58"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12AF9E7"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CA39D"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6E88698A"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0245BE22"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489BE083" w14:textId="77777777" w:rsidR="00D42D03" w:rsidRDefault="0067691A"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اسفند</w:t>
                    </w:r>
                    <w:r w:rsidR="00D42D03" w:rsidRPr="008B1317">
                      <w:rPr>
                        <w:rFonts w:cs="Titr" w:hint="cs"/>
                        <w:color w:val="548DD4" w:themeColor="text2" w:themeTint="99"/>
                        <w:sz w:val="12"/>
                        <w:szCs w:val="16"/>
                        <w:rtl/>
                      </w:rPr>
                      <w:t xml:space="preserve"> 1402</w:t>
                    </w:r>
                  </w:p>
                  <w:p w14:paraId="1F00EA58"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12AF9E7"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26C60D25" w14:textId="77777777" w:rsidR="00BD2810" w:rsidRDefault="00AF0164" w:rsidP="001843B4">
    <w:pPr>
      <w:pStyle w:val="Header"/>
      <w:ind w:firstLine="0"/>
      <w:jc w:val="center"/>
    </w:pPr>
    <w:r>
      <w:rPr>
        <w:noProof/>
      </w:rPr>
      <w:drawing>
        <wp:inline distT="0" distB="0" distL="0" distR="0" wp14:anchorId="210835B5" wp14:editId="530128D6">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1A"/>
    <w:rsid w:val="00000ADD"/>
    <w:rsid w:val="00007FC6"/>
    <w:rsid w:val="000111BD"/>
    <w:rsid w:val="00011D5C"/>
    <w:rsid w:val="00012240"/>
    <w:rsid w:val="00022CDC"/>
    <w:rsid w:val="00024D73"/>
    <w:rsid w:val="00043A29"/>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2964"/>
    <w:rsid w:val="00274ED3"/>
    <w:rsid w:val="00274F26"/>
    <w:rsid w:val="002811DC"/>
    <w:rsid w:val="00281F49"/>
    <w:rsid w:val="00291B1F"/>
    <w:rsid w:val="00294874"/>
    <w:rsid w:val="002A008B"/>
    <w:rsid w:val="002A5E6B"/>
    <w:rsid w:val="002B0078"/>
    <w:rsid w:val="002B2413"/>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545F3"/>
    <w:rsid w:val="0036629A"/>
    <w:rsid w:val="00366907"/>
    <w:rsid w:val="0037295B"/>
    <w:rsid w:val="003779EC"/>
    <w:rsid w:val="0038264F"/>
    <w:rsid w:val="003B3887"/>
    <w:rsid w:val="003B5D24"/>
    <w:rsid w:val="003C07FC"/>
    <w:rsid w:val="003C5537"/>
    <w:rsid w:val="003F2473"/>
    <w:rsid w:val="003F611D"/>
    <w:rsid w:val="00402249"/>
    <w:rsid w:val="0042168C"/>
    <w:rsid w:val="00422991"/>
    <w:rsid w:val="004260D2"/>
    <w:rsid w:val="00431E48"/>
    <w:rsid w:val="00442374"/>
    <w:rsid w:val="00446D68"/>
    <w:rsid w:val="004522E2"/>
    <w:rsid w:val="004527E0"/>
    <w:rsid w:val="00470570"/>
    <w:rsid w:val="00476DCD"/>
    <w:rsid w:val="00486184"/>
    <w:rsid w:val="00490568"/>
    <w:rsid w:val="004960A3"/>
    <w:rsid w:val="00496A71"/>
    <w:rsid w:val="004A0A1D"/>
    <w:rsid w:val="004A2115"/>
    <w:rsid w:val="004A3FA4"/>
    <w:rsid w:val="004A5217"/>
    <w:rsid w:val="004A73C2"/>
    <w:rsid w:val="004A7A2D"/>
    <w:rsid w:val="004A7D02"/>
    <w:rsid w:val="004B620D"/>
    <w:rsid w:val="004C330F"/>
    <w:rsid w:val="004D0207"/>
    <w:rsid w:val="004D5F1B"/>
    <w:rsid w:val="004E2872"/>
    <w:rsid w:val="004E3A05"/>
    <w:rsid w:val="004E4AA9"/>
    <w:rsid w:val="004E549D"/>
    <w:rsid w:val="004E6BE6"/>
    <w:rsid w:val="004F2972"/>
    <w:rsid w:val="004F3571"/>
    <w:rsid w:val="004F4160"/>
    <w:rsid w:val="005043F6"/>
    <w:rsid w:val="0050677D"/>
    <w:rsid w:val="00510056"/>
    <w:rsid w:val="005103C4"/>
    <w:rsid w:val="005132B6"/>
    <w:rsid w:val="00513E1D"/>
    <w:rsid w:val="00513F15"/>
    <w:rsid w:val="00527DEE"/>
    <w:rsid w:val="0053229C"/>
    <w:rsid w:val="00552140"/>
    <w:rsid w:val="00552C1F"/>
    <w:rsid w:val="0055361C"/>
    <w:rsid w:val="005713CF"/>
    <w:rsid w:val="005719E0"/>
    <w:rsid w:val="005748F1"/>
    <w:rsid w:val="00580FA4"/>
    <w:rsid w:val="00584632"/>
    <w:rsid w:val="0059149F"/>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000E"/>
    <w:rsid w:val="006501F5"/>
    <w:rsid w:val="00652790"/>
    <w:rsid w:val="00656D77"/>
    <w:rsid w:val="0066593C"/>
    <w:rsid w:val="00671330"/>
    <w:rsid w:val="00672B4F"/>
    <w:rsid w:val="00673F67"/>
    <w:rsid w:val="00676219"/>
    <w:rsid w:val="0067691A"/>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0918"/>
    <w:rsid w:val="007018CC"/>
    <w:rsid w:val="0070234B"/>
    <w:rsid w:val="0070434A"/>
    <w:rsid w:val="00713E2F"/>
    <w:rsid w:val="00721E5E"/>
    <w:rsid w:val="00722AB4"/>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C4974"/>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0ABE"/>
    <w:rsid w:val="008741BD"/>
    <w:rsid w:val="0088021C"/>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4734C"/>
    <w:rsid w:val="009611AC"/>
    <w:rsid w:val="00965CE9"/>
    <w:rsid w:val="009728D4"/>
    <w:rsid w:val="00974278"/>
    <w:rsid w:val="00981482"/>
    <w:rsid w:val="009A7D21"/>
    <w:rsid w:val="009B0D6B"/>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0F2"/>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69E"/>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E28DC"/>
    <w:rsid w:val="00FF0107"/>
    <w:rsid w:val="00FF2E3E"/>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7F6DF"/>
  <w15:docId w15:val="{E32689B4-9229-42E7-9F7B-DE4E6BBD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8349-05F9-4866-A8CD-991C67B3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136</TotalTime>
  <Pages>1</Pages>
  <Words>2080</Words>
  <Characters>11861</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سياستگذاري</vt:lpstr>
      <vt:lpstr>راهبرد</vt:lpstr>
      <vt:lpstr>اقدامات كلان</vt:lpstr>
      <vt:lpstr>اقدام اثرگذار</vt:lpstr>
      <vt:lpstr>برنامه</vt:lpstr>
      <vt:lpstr>تفكر راهبردي</vt:lpstr>
      <vt:lpstr>مسأله اجتماعي</vt:lpstr>
      <vt:lpstr>مسأله راهبردي</vt:lpstr>
      <vt:lpstr>سند راهبردي</vt:lpstr>
      <vt:lpstr>گزارش راهبردي</vt:lpstr>
      <vt:lpstr>سند سياستي</vt:lpstr>
      <vt:lpstr>نظريه سياستي</vt:lpstr>
      <vt:lpstr>نظريه علمي</vt:lpstr>
      <vt:lpstr>نظريه پايه</vt:lpstr>
      <vt:lpstr>سياست‌سازي</vt:lpstr>
      <vt:lpstr>مطالعات راهبردي</vt:lpstr>
      <vt:lpstr>مديريت راهبردي</vt:lpstr>
      <vt:lpstr>تصميم‌سازي</vt:lpstr>
      <vt:lpstr>نگاشت نهادي</vt:lpstr>
      <vt:lpstr>برنامه‌ريزي راهبردي</vt:lpstr>
      <vt:lpstr>رابطه دين و استراتژي</vt:lpstr>
      <vt:lpstr>جايگاه حوزه علميه در مديريت راهبردي</vt:lpstr>
      <vt:lpstr>ساختار حوزه علميه</vt:lpstr>
    </vt:vector>
  </TitlesOfParts>
  <Company>Personal</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11</cp:revision>
  <cp:lastPrinted>2025-08-25T04:27:00Z</cp:lastPrinted>
  <dcterms:created xsi:type="dcterms:W3CDTF">2024-03-13T23:20:00Z</dcterms:created>
  <dcterms:modified xsi:type="dcterms:W3CDTF">2025-08-25T04:27:00Z</dcterms:modified>
</cp:coreProperties>
</file>