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FBCB41" w14:textId="3AFC243E" w:rsidR="004522E2" w:rsidRDefault="000F429F" w:rsidP="000B6E36">
      <w:pPr>
        <w:spacing w:before="240" w:after="360" w:line="240" w:lineRule="auto"/>
        <w:ind w:firstLine="0"/>
        <w:contextualSpacing/>
        <w:jc w:val="center"/>
        <w:rPr>
          <w:rFonts w:cs="Vahid"/>
          <w:color w:val="C00000"/>
          <w:sz w:val="36"/>
          <w:szCs w:val="36"/>
          <w:rtl/>
        </w:rPr>
      </w:pPr>
      <w:r>
        <w:rPr>
          <w:rFonts w:cs="Vahid" w:hint="cs"/>
          <w:noProof/>
          <w:color w:val="C00000"/>
          <w:sz w:val="36"/>
          <w:szCs w:val="36"/>
          <w:rtl/>
        </w:rPr>
        <mc:AlternateContent>
          <mc:Choice Requires="wps">
            <w:drawing>
              <wp:anchor distT="0" distB="0" distL="114300" distR="114300" simplePos="0" relativeHeight="251659264" behindDoc="0" locked="1" layoutInCell="1" allowOverlap="1" wp14:anchorId="15F97E72" wp14:editId="1F74A49F">
                <wp:simplePos x="0" y="0"/>
                <wp:positionH relativeFrom="column">
                  <wp:posOffset>-6985</wp:posOffset>
                </wp:positionH>
                <wp:positionV relativeFrom="page">
                  <wp:posOffset>989965</wp:posOffset>
                </wp:positionV>
                <wp:extent cx="1627200" cy="342000"/>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1627200" cy="342000"/>
                        </a:xfrm>
                        <a:prstGeom prst="rect">
                          <a:avLst/>
                        </a:prstGeom>
                        <a:gradFill flip="none" rotWithShape="1">
                          <a:gsLst>
                            <a:gs pos="0">
                              <a:srgbClr val="FFFF00"/>
                            </a:gs>
                            <a:gs pos="10000">
                              <a:srgbClr val="FFFF00"/>
                            </a:gs>
                            <a:gs pos="100000">
                              <a:schemeClr val="bg1"/>
                            </a:gs>
                          </a:gsLst>
                          <a:lin ang="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A3542" w14:textId="027970ED" w:rsidR="00051965" w:rsidRPr="000F429F" w:rsidRDefault="004537CC" w:rsidP="000F429F">
                            <w:pPr>
                              <w:ind w:firstLine="0"/>
                              <w:jc w:val="right"/>
                              <w:rPr>
                                <w:rFonts w:cs="Vahid"/>
                                <w:color w:val="4F6228" w:themeColor="accent3" w:themeShade="80"/>
                                <w:sz w:val="28"/>
                                <w:szCs w:val="36"/>
                              </w:rPr>
                            </w:pPr>
                            <w:r>
                              <w:rPr>
                                <w:rFonts w:cs="Vahid" w:hint="cs"/>
                                <w:color w:val="4F6228" w:themeColor="accent3" w:themeShade="80"/>
                                <w:sz w:val="28"/>
                                <w:szCs w:val="36"/>
                                <w:rtl/>
                              </w:rPr>
                              <w:t>30</w:t>
                            </w:r>
                            <w:r w:rsidR="00051965">
                              <w:rPr>
                                <w:rFonts w:cs="Vahid"/>
                                <w:color w:val="4F6228" w:themeColor="accent3" w:themeShade="80"/>
                                <w:sz w:val="28"/>
                                <w:szCs w:val="36"/>
                                <w:rtl/>
                              </w:rPr>
                              <w:t xml:space="preserve"> </w:t>
                            </w:r>
                            <w:r w:rsidR="00051965">
                              <w:rPr>
                                <w:rFonts w:cs="Vahid" w:hint="cs"/>
                                <w:color w:val="4F6228" w:themeColor="accent3" w:themeShade="80"/>
                                <w:sz w:val="28"/>
                                <w:szCs w:val="36"/>
                                <w:rtl/>
                              </w:rPr>
                              <w:t>مرداد</w:t>
                            </w:r>
                            <w:r w:rsidR="00051965">
                              <w:rPr>
                                <w:rFonts w:cs="Vahid"/>
                                <w:color w:val="4F6228" w:themeColor="accent3" w:themeShade="80"/>
                                <w:sz w:val="28"/>
                                <w:szCs w:val="36"/>
                                <w:rtl/>
                              </w:rPr>
                              <w:t xml:space="preserve"> 1402</w:t>
                            </w:r>
                          </w:p>
                        </w:txbxContent>
                      </wps:txbx>
                      <wps:bodyPr rot="0" spcFirstLastPara="0" vertOverflow="overflow" horzOverflow="overflow" vert="horz" wrap="square" lIns="7200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F97E72" id="_x0000_t202" coordsize="21600,21600" o:spt="202" path="m,l,21600r21600,l21600,xe">
                <v:stroke joinstyle="miter"/>
                <v:path gradientshapeok="t" o:connecttype="rect"/>
              </v:shapetype>
              <v:shape id="Text Box 3" o:spid="_x0000_s1026" type="#_x0000_t202" style="position:absolute;left:0;text-align:left;margin-left:-.55pt;margin-top:77.95pt;width:128.15pt;height:2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" fillcolor="yellow" stroked="f" strokeweight=".5pt">
                <v:fill color2="white [3212]" rotate="t" angle="90" colors="0 yellow;6554f yellow;1 white" focus="100%" type="gradient"/>
                <v:textbox inset="2mm,0,0,0">
                  <w:txbxContent>
                    <w:p w14:paraId="56CA3542" w14:textId="027970ED" w:rsidR="00051965" w:rsidRPr="000F429F" w:rsidRDefault="004537CC" w:rsidP="000F429F">
                      <w:pPr>
                        <w:ind w:firstLine="0"/>
                        <w:jc w:val="right"/>
                        <w:rPr>
                          <w:rFonts w:cs="Vahid"/>
                          <w:color w:val="4F6228" w:themeColor="accent3" w:themeShade="80"/>
                          <w:sz w:val="28"/>
                          <w:szCs w:val="36"/>
                        </w:rPr>
                      </w:pPr>
                      <w:r>
                        <w:rPr>
                          <w:rFonts w:cs="Vahid" w:hint="cs"/>
                          <w:color w:val="4F6228" w:themeColor="accent3" w:themeShade="80"/>
                          <w:sz w:val="28"/>
                          <w:szCs w:val="36"/>
                          <w:rtl/>
                        </w:rPr>
                        <w:t>30</w:t>
                      </w:r>
                      <w:r w:rsidR="00051965">
                        <w:rPr>
                          <w:rFonts w:cs="Vahid"/>
                          <w:color w:val="4F6228" w:themeColor="accent3" w:themeShade="80"/>
                          <w:sz w:val="28"/>
                          <w:szCs w:val="36"/>
                          <w:rtl/>
                        </w:rPr>
                        <w:t xml:space="preserve"> </w:t>
                      </w:r>
                      <w:r w:rsidR="00051965">
                        <w:rPr>
                          <w:rFonts w:cs="Vahid" w:hint="cs"/>
                          <w:color w:val="4F6228" w:themeColor="accent3" w:themeShade="80"/>
                          <w:sz w:val="28"/>
                          <w:szCs w:val="36"/>
                          <w:rtl/>
                        </w:rPr>
                        <w:t>مرداد</w:t>
                      </w:r>
                      <w:r w:rsidR="00051965">
                        <w:rPr>
                          <w:rFonts w:cs="Vahid"/>
                          <w:color w:val="4F6228" w:themeColor="accent3" w:themeShade="80"/>
                          <w:sz w:val="28"/>
                          <w:szCs w:val="36"/>
                          <w:rtl/>
                        </w:rPr>
                        <w:t xml:space="preserve"> 1402</w:t>
                      </w:r>
                    </w:p>
                  </w:txbxContent>
                </v:textbox>
                <w10:wrap anchory="page"/>
                <w10:anchorlock/>
              </v:shape>
            </w:pict>
          </mc:Fallback>
        </mc:AlternateContent>
      </w:r>
      <w:r w:rsidR="00E45957">
        <w:rPr>
          <w:rFonts w:cs="Vahid" w:hint="cs"/>
          <w:color w:val="C00000"/>
          <w:sz w:val="36"/>
          <w:szCs w:val="36"/>
          <w:rtl/>
        </w:rPr>
        <w:t>مراحل</w:t>
      </w:r>
      <w:r w:rsidR="005613EB">
        <w:rPr>
          <w:rFonts w:cs="Vahid" w:hint="cs"/>
          <w:color w:val="C00000"/>
          <w:sz w:val="36"/>
          <w:szCs w:val="36"/>
          <w:rtl/>
        </w:rPr>
        <w:t xml:space="preserve"> «</w:t>
      </w:r>
      <w:r w:rsidR="00E45957">
        <w:rPr>
          <w:rFonts w:cs="Vahid" w:hint="cs"/>
          <w:color w:val="C00000"/>
          <w:sz w:val="36"/>
          <w:szCs w:val="36"/>
          <w:rtl/>
        </w:rPr>
        <w:t>قانونگذاري</w:t>
      </w:r>
      <w:r w:rsidR="005613EB">
        <w:rPr>
          <w:rFonts w:cs="Vahid" w:hint="cs"/>
          <w:color w:val="C00000"/>
          <w:sz w:val="36"/>
          <w:szCs w:val="36"/>
          <w:rtl/>
        </w:rPr>
        <w:t>»</w:t>
      </w:r>
    </w:p>
    <w:p w14:paraId="7CB168F5" w14:textId="7AF93574" w:rsidR="00520A6D" w:rsidRPr="00520A6D" w:rsidRDefault="00520A6D" w:rsidP="000B6E36">
      <w:pPr>
        <w:spacing w:before="240" w:after="360" w:line="240" w:lineRule="auto"/>
        <w:ind w:firstLine="0"/>
        <w:jc w:val="center"/>
        <w:rPr>
          <w:rFonts w:cs="Vahid"/>
          <w:color w:val="C00000"/>
          <w:sz w:val="36"/>
          <w:szCs w:val="36"/>
          <w:rtl/>
        </w:rPr>
      </w:pPr>
      <w:r w:rsidRPr="00520A6D">
        <w:rPr>
          <w:rFonts w:cs="Vahid" w:hint="cs"/>
          <w:color w:val="C00000"/>
          <w:sz w:val="36"/>
          <w:szCs w:val="36"/>
          <w:rtl/>
        </w:rPr>
        <w:t>ارائه</w:t>
      </w:r>
      <w:r w:rsidRPr="00520A6D">
        <w:rPr>
          <w:rFonts w:cs="Vahid"/>
          <w:color w:val="C00000"/>
          <w:sz w:val="36"/>
          <w:szCs w:val="36"/>
          <w:rtl/>
        </w:rPr>
        <w:t xml:space="preserve"> </w:t>
      </w:r>
      <w:r w:rsidRPr="00520A6D">
        <w:rPr>
          <w:rFonts w:cs="Vahid" w:hint="cs"/>
          <w:color w:val="C00000"/>
          <w:sz w:val="36"/>
          <w:szCs w:val="36"/>
          <w:rtl/>
        </w:rPr>
        <w:t>نظرات</w:t>
      </w:r>
      <w:r w:rsidRPr="00520A6D">
        <w:rPr>
          <w:rFonts w:cs="Vahid"/>
          <w:color w:val="C00000"/>
          <w:sz w:val="36"/>
          <w:szCs w:val="36"/>
          <w:rtl/>
        </w:rPr>
        <w:t xml:space="preserve"> </w:t>
      </w:r>
      <w:r w:rsidRPr="00520A6D">
        <w:rPr>
          <w:rFonts w:cs="Vahid" w:hint="cs"/>
          <w:color w:val="C00000"/>
          <w:sz w:val="36"/>
          <w:szCs w:val="36"/>
          <w:rtl/>
        </w:rPr>
        <w:t>كارشناسي</w:t>
      </w:r>
      <w:r w:rsidRPr="00520A6D">
        <w:rPr>
          <w:rFonts w:cs="Vahid"/>
          <w:color w:val="C00000"/>
          <w:sz w:val="36"/>
          <w:szCs w:val="36"/>
          <w:rtl/>
        </w:rPr>
        <w:t xml:space="preserve"> </w:t>
      </w:r>
      <w:r w:rsidRPr="00520A6D">
        <w:rPr>
          <w:rFonts w:cs="Vahid" w:hint="cs"/>
          <w:color w:val="C00000"/>
          <w:sz w:val="36"/>
          <w:szCs w:val="36"/>
          <w:rtl/>
        </w:rPr>
        <w:t>و</w:t>
      </w:r>
      <w:r w:rsidRPr="00520A6D">
        <w:rPr>
          <w:rFonts w:cs="Vahid"/>
          <w:color w:val="C00000"/>
          <w:sz w:val="36"/>
          <w:szCs w:val="36"/>
          <w:rtl/>
        </w:rPr>
        <w:t xml:space="preserve"> </w:t>
      </w:r>
      <w:r w:rsidRPr="00520A6D">
        <w:rPr>
          <w:rFonts w:cs="Vahid" w:hint="cs"/>
          <w:color w:val="C00000"/>
          <w:sz w:val="36"/>
          <w:szCs w:val="36"/>
          <w:rtl/>
        </w:rPr>
        <w:t>تجربه</w:t>
      </w:r>
      <w:r w:rsidRPr="00520A6D">
        <w:rPr>
          <w:rFonts w:cs="Vahid"/>
          <w:color w:val="C00000"/>
          <w:sz w:val="36"/>
          <w:szCs w:val="36"/>
          <w:rtl/>
        </w:rPr>
        <w:t xml:space="preserve"> </w:t>
      </w:r>
      <w:r w:rsidRPr="00520A6D">
        <w:rPr>
          <w:rFonts w:cs="Vahid" w:hint="cs"/>
          <w:color w:val="C00000"/>
          <w:sz w:val="36"/>
          <w:szCs w:val="36"/>
          <w:rtl/>
        </w:rPr>
        <w:t>آقاي</w:t>
      </w:r>
      <w:r w:rsidRPr="00520A6D">
        <w:rPr>
          <w:rFonts w:cs="Vahid"/>
          <w:color w:val="C00000"/>
          <w:sz w:val="36"/>
          <w:szCs w:val="36"/>
          <w:rtl/>
        </w:rPr>
        <w:t xml:space="preserve"> </w:t>
      </w:r>
      <w:r w:rsidR="00EB30E8">
        <w:rPr>
          <w:rFonts w:cs="Vahid" w:hint="eastAsia"/>
          <w:color w:val="C00000"/>
          <w:sz w:val="36"/>
          <w:szCs w:val="36"/>
          <w:rtl/>
        </w:rPr>
        <w:t>…</w:t>
      </w:r>
      <w:r w:rsidRPr="00520A6D">
        <w:rPr>
          <w:rFonts w:cs="Vahid"/>
          <w:color w:val="C00000"/>
          <w:sz w:val="36"/>
          <w:szCs w:val="36"/>
          <w:rtl/>
        </w:rPr>
        <w:t xml:space="preserve"> </w:t>
      </w:r>
      <w:r w:rsidRPr="00520A6D">
        <w:rPr>
          <w:rFonts w:cs="Vahid" w:hint="cs"/>
          <w:color w:val="C00000"/>
          <w:sz w:val="36"/>
          <w:szCs w:val="36"/>
          <w:rtl/>
        </w:rPr>
        <w:t>در</w:t>
      </w:r>
      <w:r w:rsidRPr="00520A6D">
        <w:rPr>
          <w:rFonts w:cs="Vahid"/>
          <w:color w:val="C00000"/>
          <w:sz w:val="36"/>
          <w:szCs w:val="36"/>
          <w:rtl/>
        </w:rPr>
        <w:t xml:space="preserve"> </w:t>
      </w:r>
      <w:r w:rsidRPr="00520A6D">
        <w:rPr>
          <w:rFonts w:cs="Vahid" w:hint="cs"/>
          <w:color w:val="C00000"/>
          <w:sz w:val="36"/>
          <w:szCs w:val="36"/>
          <w:rtl/>
        </w:rPr>
        <w:t>فرآيندهاي</w:t>
      </w:r>
      <w:r w:rsidRPr="00520A6D">
        <w:rPr>
          <w:rFonts w:cs="Vahid"/>
          <w:color w:val="C00000"/>
          <w:sz w:val="36"/>
          <w:szCs w:val="36"/>
          <w:rtl/>
        </w:rPr>
        <w:t xml:space="preserve"> </w:t>
      </w:r>
      <w:r w:rsidRPr="00520A6D">
        <w:rPr>
          <w:rFonts w:cs="Vahid" w:hint="cs"/>
          <w:color w:val="C00000"/>
          <w:sz w:val="36"/>
          <w:szCs w:val="36"/>
          <w:rtl/>
        </w:rPr>
        <w:t>قانونگذاري</w:t>
      </w:r>
    </w:p>
    <w:p w14:paraId="3D1471DF" w14:textId="282723FA" w:rsidR="00FD2CC4" w:rsidRDefault="00FD2CC4" w:rsidP="00FD2CC4">
      <w:pPr>
        <w:pBdr>
          <w:top w:val="single" w:sz="8" w:space="9" w:color="auto" w:shadow="1"/>
          <w:left w:val="single" w:sz="8" w:space="4" w:color="auto" w:shadow="1"/>
          <w:bottom w:val="single" w:sz="8" w:space="9" w:color="auto" w:shadow="1"/>
          <w:right w:val="single" w:sz="8" w:space="4" w:color="auto" w:shadow="1"/>
        </w:pBdr>
        <w:spacing w:after="0"/>
        <w:ind w:left="1298" w:right="1100"/>
        <w:rPr>
          <w:rtl/>
        </w:rPr>
      </w:pPr>
      <w:r>
        <w:rPr>
          <w:rFonts w:hint="cs"/>
          <w:rtl/>
        </w:rPr>
        <w:t xml:space="preserve">در تاريخ </w:t>
      </w:r>
      <w:r w:rsidR="00E45957">
        <w:rPr>
          <w:rFonts w:hint="cs"/>
          <w:rtl/>
        </w:rPr>
        <w:t>30</w:t>
      </w:r>
      <w:r>
        <w:rPr>
          <w:rFonts w:hint="cs"/>
          <w:rtl/>
        </w:rPr>
        <w:t>/5/1402 جلسه‌</w:t>
      </w:r>
      <w:r w:rsidR="00E45957">
        <w:rPr>
          <w:rFonts w:hint="cs"/>
          <w:rtl/>
        </w:rPr>
        <w:t xml:space="preserve"> ديگري با</w:t>
      </w:r>
      <w:r>
        <w:rPr>
          <w:rFonts w:hint="cs"/>
          <w:rtl/>
        </w:rPr>
        <w:t xml:space="preserve"> حضور دكتر </w:t>
      </w:r>
      <w:r w:rsidR="00EB30E8">
        <w:rPr>
          <w:rFonts w:hint="eastAsia"/>
          <w:rtl/>
        </w:rPr>
        <w:t>…</w:t>
      </w:r>
      <w:r>
        <w:rPr>
          <w:rFonts w:hint="cs"/>
          <w:rtl/>
        </w:rPr>
        <w:t xml:space="preserve"> و آقايان: </w:t>
      </w:r>
      <w:r w:rsidR="00EB30E8">
        <w:rPr>
          <w:rFonts w:hint="eastAsia"/>
          <w:rtl/>
        </w:rPr>
        <w:t>…</w:t>
      </w:r>
      <w:r>
        <w:rPr>
          <w:rFonts w:hint="cs"/>
          <w:rtl/>
        </w:rPr>
        <w:t xml:space="preserve">، </w:t>
      </w:r>
      <w:r w:rsidR="00EB30E8">
        <w:rPr>
          <w:rFonts w:hint="eastAsia"/>
          <w:rtl/>
        </w:rPr>
        <w:t>…</w:t>
      </w:r>
      <w:r>
        <w:rPr>
          <w:rFonts w:hint="cs"/>
          <w:rtl/>
        </w:rPr>
        <w:t xml:space="preserve">، </w:t>
      </w:r>
      <w:r w:rsidR="00EB30E8">
        <w:rPr>
          <w:rFonts w:hint="eastAsia"/>
          <w:rtl/>
        </w:rPr>
        <w:t>…</w:t>
      </w:r>
      <w:r>
        <w:rPr>
          <w:rFonts w:hint="cs"/>
          <w:rtl/>
        </w:rPr>
        <w:t xml:space="preserve"> و </w:t>
      </w:r>
      <w:r w:rsidR="00EB30E8">
        <w:rPr>
          <w:rFonts w:hint="eastAsia"/>
          <w:rtl/>
        </w:rPr>
        <w:t>…</w:t>
      </w:r>
      <w:r>
        <w:rPr>
          <w:rFonts w:hint="cs"/>
          <w:rtl/>
        </w:rPr>
        <w:t xml:space="preserve"> برگزار شد و آقاي «</w:t>
      </w:r>
      <w:r w:rsidR="00EB30E8">
        <w:rPr>
          <w:rFonts w:hint="eastAsia"/>
          <w:rtl/>
        </w:rPr>
        <w:t>…</w:t>
      </w:r>
      <w:r>
        <w:rPr>
          <w:rFonts w:hint="cs"/>
          <w:rtl/>
        </w:rPr>
        <w:t xml:space="preserve">» </w:t>
      </w:r>
      <w:r w:rsidR="00E45957">
        <w:rPr>
          <w:rFonts w:hint="cs"/>
          <w:rtl/>
        </w:rPr>
        <w:t>اين‌بار مراحل</w:t>
      </w:r>
      <w:r>
        <w:rPr>
          <w:rFonts w:hint="cs"/>
          <w:rtl/>
        </w:rPr>
        <w:t xml:space="preserve"> قانونگذاري را تشريح كردند. </w:t>
      </w:r>
      <w:r w:rsidR="00E45957">
        <w:rPr>
          <w:rFonts w:hint="cs"/>
          <w:rtl/>
        </w:rPr>
        <w:t xml:space="preserve">مقدمه «دانش تقنين» و فرآيند قانونگذاري در جلسه اول به طور مبسوط طرح شده بود. </w:t>
      </w:r>
      <w:r w:rsidR="00663B5D">
        <w:rPr>
          <w:rFonts w:hint="cs"/>
          <w:rtl/>
        </w:rPr>
        <w:t>متن حاضر خلاصه اين گفتگوي شفاهي است.</w:t>
      </w:r>
    </w:p>
    <w:p w14:paraId="54613D05" w14:textId="439A837E" w:rsidR="00222A54" w:rsidRDefault="00DE63B7" w:rsidP="00222A54">
      <w:pPr>
        <w:pStyle w:val="Heading1"/>
        <w:rPr>
          <w:rtl/>
        </w:rPr>
      </w:pPr>
      <w:bookmarkStart w:id="0" w:name="_Toc144002040"/>
      <w:bookmarkStart w:id="1" w:name="_Toc144083816"/>
      <w:bookmarkStart w:id="2" w:name="_Toc144085908"/>
      <w:bookmarkStart w:id="3" w:name="_Toc144086135"/>
      <w:r>
        <w:rPr>
          <w:noProof/>
          <w:rtl/>
          <w:lang w:val="fa-IR"/>
        </w:rPr>
        <w:drawing>
          <wp:anchor distT="0" distB="0" distL="114300" distR="114300" simplePos="0" relativeHeight="251661312" behindDoc="0" locked="0" layoutInCell="1" allowOverlap="1" wp14:anchorId="4FA6F1D2" wp14:editId="06438AD9">
            <wp:simplePos x="0" y="0"/>
            <wp:positionH relativeFrom="column">
              <wp:posOffset>28575</wp:posOffset>
            </wp:positionH>
            <wp:positionV relativeFrom="paragraph">
              <wp:posOffset>256276</wp:posOffset>
            </wp:positionV>
            <wp:extent cx="3348990" cy="1707515"/>
            <wp:effectExtent l="0" t="0" r="381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6294421911.jpg"/>
                    <pic:cNvPicPr/>
                  </pic:nvPicPr>
                  <pic:blipFill rotWithShape="1">
                    <a:blip r:embed="rId8">
                      <a:extLst>
                        <a:ext uri="{BEBA8EAE-BF5A-486C-A8C5-ECC9F3942E4B}">
                          <a14:imgProps xmlns:a14="http://schemas.microsoft.com/office/drawing/2010/main">
                            <a14:imgLayer r:embed="rId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47276" t="12716" r="10765" b="58712"/>
                    <a:stretch/>
                  </pic:blipFill>
                  <pic:spPr bwMode="auto">
                    <a:xfrm>
                      <a:off x="0" y="0"/>
                      <a:ext cx="3348990" cy="170751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cs"/>
          <w:rtl/>
        </w:rPr>
        <w:t>مراحل قانونگذاري</w:t>
      </w:r>
      <w:bookmarkEnd w:id="0"/>
      <w:bookmarkEnd w:id="1"/>
      <w:bookmarkEnd w:id="2"/>
      <w:bookmarkEnd w:id="3"/>
    </w:p>
    <w:p w14:paraId="6C01B2C3" w14:textId="3CFD89EB" w:rsidR="00AF4DA2" w:rsidRDefault="00DE63B7" w:rsidP="008C5589">
      <w:pPr>
        <w:rPr>
          <w:rtl/>
        </w:rPr>
      </w:pPr>
      <w:r>
        <w:rPr>
          <w:rFonts w:hint="cs"/>
          <w:rtl/>
        </w:rPr>
        <w:t xml:space="preserve">قانونگذاري توليد قانون است. مي‌توان </w:t>
      </w:r>
      <w:r w:rsidR="005531AD">
        <w:rPr>
          <w:rFonts w:hint="cs"/>
          <w:rtl/>
        </w:rPr>
        <w:t xml:space="preserve">مجلس را به يك كارخانه تشبيه كرد كه كار آن توليد قانون است. هر كارخانه چهار خدمت انجام مي‌دهد: </w:t>
      </w:r>
      <w:r w:rsidR="00415BD5" w:rsidRPr="00415BD5">
        <w:rPr>
          <w:rFonts w:ascii="Cambria Math" w:hAnsi="Cambria Math" w:cs="Cambria Math" w:hint="cs"/>
          <w:position w:val="-6"/>
          <w:rtl/>
        </w:rPr>
        <w:t>❶</w:t>
      </w:r>
      <w:r w:rsidR="00415BD5">
        <w:rPr>
          <w:rFonts w:hint="cs"/>
          <w:rtl/>
        </w:rPr>
        <w:t xml:space="preserve"> </w:t>
      </w:r>
      <w:r w:rsidR="005531AD">
        <w:rPr>
          <w:rFonts w:hint="cs"/>
          <w:rtl/>
        </w:rPr>
        <w:t xml:space="preserve">طراحي، </w:t>
      </w:r>
      <w:r w:rsidR="00415BD5" w:rsidRPr="00415BD5">
        <w:rPr>
          <w:rFonts w:ascii="Cambria Math" w:hAnsi="Cambria Math" w:cs="Cambria Math" w:hint="cs"/>
          <w:position w:val="-6"/>
          <w:rtl/>
        </w:rPr>
        <w:t>❷</w:t>
      </w:r>
      <w:r w:rsidR="00415BD5">
        <w:rPr>
          <w:rFonts w:hint="cs"/>
          <w:rtl/>
        </w:rPr>
        <w:t xml:space="preserve"> </w:t>
      </w:r>
      <w:r w:rsidR="005531AD">
        <w:rPr>
          <w:rFonts w:hint="cs"/>
          <w:rtl/>
        </w:rPr>
        <w:t xml:space="preserve">توليد، </w:t>
      </w:r>
      <w:r w:rsidR="00415BD5" w:rsidRPr="00415BD5">
        <w:rPr>
          <w:rFonts w:ascii="Cambria Math" w:hAnsi="Cambria Math" w:cs="Cambria Math" w:hint="cs"/>
          <w:position w:val="-6"/>
          <w:rtl/>
        </w:rPr>
        <w:t>❸</w:t>
      </w:r>
      <w:r w:rsidR="00415BD5">
        <w:rPr>
          <w:rFonts w:hint="cs"/>
          <w:rtl/>
        </w:rPr>
        <w:t xml:space="preserve"> </w:t>
      </w:r>
      <w:r w:rsidR="00BA7DB4">
        <w:rPr>
          <w:rFonts w:hint="cs"/>
          <w:rtl/>
        </w:rPr>
        <w:t>طبقه‌بندي كال</w:t>
      </w:r>
      <w:bookmarkStart w:id="4" w:name="_GoBack"/>
      <w:bookmarkEnd w:id="4"/>
      <w:r w:rsidR="00BA7DB4">
        <w:rPr>
          <w:rFonts w:hint="cs"/>
          <w:rtl/>
        </w:rPr>
        <w:t>ا در انبار</w:t>
      </w:r>
      <w:r w:rsidR="005531AD">
        <w:rPr>
          <w:rFonts w:hint="cs"/>
          <w:rtl/>
        </w:rPr>
        <w:t xml:space="preserve"> و </w:t>
      </w:r>
      <w:r w:rsidR="00415BD5" w:rsidRPr="00415BD5">
        <w:rPr>
          <w:rFonts w:ascii="Cambria Math" w:hAnsi="Cambria Math" w:cs="Cambria Math" w:hint="cs"/>
          <w:position w:val="-6"/>
          <w:rtl/>
        </w:rPr>
        <w:t>❹</w:t>
      </w:r>
      <w:r w:rsidR="00415BD5">
        <w:rPr>
          <w:rFonts w:hint="cs"/>
          <w:rtl/>
        </w:rPr>
        <w:t xml:space="preserve"> </w:t>
      </w:r>
      <w:r w:rsidR="005531AD">
        <w:rPr>
          <w:rFonts w:hint="cs"/>
          <w:rtl/>
        </w:rPr>
        <w:t>خدمات پس از فروش.</w:t>
      </w:r>
    </w:p>
    <w:p w14:paraId="423123D8" w14:textId="382C085B" w:rsidR="00DE63B7" w:rsidRDefault="00DE63B7" w:rsidP="00DE63B7">
      <w:pPr>
        <w:pStyle w:val="Heading2"/>
        <w:rPr>
          <w:rtl/>
        </w:rPr>
      </w:pPr>
      <w:bookmarkStart w:id="5" w:name="_Toc144002041"/>
      <w:bookmarkStart w:id="6" w:name="_Toc144083817"/>
      <w:bookmarkStart w:id="7" w:name="_Toc144085909"/>
      <w:bookmarkStart w:id="8" w:name="_Toc144086136"/>
      <w:r>
        <w:rPr>
          <w:rFonts w:hint="cs"/>
          <w:rtl/>
        </w:rPr>
        <w:t>تدوين</w:t>
      </w:r>
      <w:bookmarkEnd w:id="5"/>
      <w:bookmarkEnd w:id="6"/>
      <w:bookmarkEnd w:id="7"/>
      <w:bookmarkEnd w:id="8"/>
    </w:p>
    <w:p w14:paraId="0C4957B7" w14:textId="6B2A14EC" w:rsidR="00BA7DB4" w:rsidRPr="00BA7DB4" w:rsidRDefault="00BA7DB4" w:rsidP="00BA7DB4">
      <w:pPr>
        <w:rPr>
          <w:rtl/>
        </w:rPr>
      </w:pPr>
      <w:r>
        <w:rPr>
          <w:rFonts w:hint="cs"/>
          <w:rtl/>
        </w:rPr>
        <w:t xml:space="preserve">اين مرحله از قانونگذاري شبيه به طراحي در كارخانه است. </w:t>
      </w:r>
      <w:r w:rsidR="009C511C">
        <w:rPr>
          <w:rFonts w:hint="cs"/>
          <w:rtl/>
        </w:rPr>
        <w:t>از طريق مشاوره با كارشناسان، پيش‌طرح يا پيش‌لايحه آماده مي‌شود.</w:t>
      </w:r>
      <w:r w:rsidR="00727FAB">
        <w:rPr>
          <w:rFonts w:hint="cs"/>
          <w:rtl/>
        </w:rPr>
        <w:t xml:space="preserve"> طراحي نياز به مدل دارد. شيوه‌ها و روش‌هايي در هر كارخانه براي طراحي به كار مي‌رود. هر چه اين مدل‌ها پيشرفته‌تر باشد محصولات بهتري طراحي خواهد شد.</w:t>
      </w:r>
    </w:p>
    <w:p w14:paraId="7C379015" w14:textId="77777777" w:rsidR="002C3913" w:rsidRDefault="002C3913" w:rsidP="002C3913">
      <w:pPr>
        <w:spacing w:line="240" w:lineRule="auto"/>
        <w:ind w:firstLine="0"/>
        <w:jc w:val="center"/>
        <w:rPr>
          <w:rtl/>
        </w:rPr>
      </w:pPr>
      <w:r>
        <w:rPr>
          <w:noProof/>
          <w:rtl/>
          <w:lang w:val="fa-IR"/>
        </w:rPr>
        <w:drawing>
          <wp:inline distT="0" distB="0" distL="0" distR="0" wp14:anchorId="7A9F6771" wp14:editId="67FE84EB">
            <wp:extent cx="6299460" cy="2562046"/>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6294421911.jpg"/>
                    <pic:cNvPicPr/>
                  </pic:nvPicPr>
                  <pic:blipFill rotWithShape="1">
                    <a:blip r:embed="rId10">
                      <a:extLst>
                        <a:ext uri="{BEBA8EAE-BF5A-486C-A8C5-ECC9F3942E4B}">
                          <a14:imgProps xmlns:a14="http://schemas.microsoft.com/office/drawing/2010/main">
                            <a14:imgLayer r:embed="rId9">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4072" t="32109" r="12647" b="22681"/>
                    <a:stretch/>
                  </pic:blipFill>
                  <pic:spPr bwMode="auto">
                    <a:xfrm>
                      <a:off x="0" y="0"/>
                      <a:ext cx="6300000" cy="2562266"/>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p w14:paraId="2BFBD776" w14:textId="740ED323" w:rsidR="00DE63B7" w:rsidRDefault="00DE63B7" w:rsidP="00DE63B7">
      <w:pPr>
        <w:pStyle w:val="Heading2"/>
        <w:rPr>
          <w:rtl/>
        </w:rPr>
      </w:pPr>
      <w:bookmarkStart w:id="9" w:name="_Toc144002042"/>
      <w:bookmarkStart w:id="10" w:name="_Toc144083818"/>
      <w:bookmarkStart w:id="11" w:name="_Toc144085910"/>
      <w:bookmarkStart w:id="12" w:name="_Toc144086137"/>
      <w:r>
        <w:rPr>
          <w:rFonts w:hint="cs"/>
          <w:rtl/>
        </w:rPr>
        <w:t>تصويب</w:t>
      </w:r>
      <w:bookmarkEnd w:id="9"/>
      <w:bookmarkEnd w:id="10"/>
      <w:bookmarkEnd w:id="11"/>
      <w:bookmarkEnd w:id="12"/>
    </w:p>
    <w:p w14:paraId="77C6E0D2" w14:textId="72C43D0F" w:rsidR="009C511C" w:rsidRDefault="009C511C" w:rsidP="009C511C">
      <w:pPr>
        <w:rPr>
          <w:rtl/>
        </w:rPr>
      </w:pPr>
      <w:r>
        <w:rPr>
          <w:rFonts w:hint="cs"/>
          <w:rtl/>
        </w:rPr>
        <w:t>توليد قانون همان تصويب آن است كه در دو گام به انجام مي‌رسد:</w:t>
      </w:r>
    </w:p>
    <w:p w14:paraId="6D676713" w14:textId="6B0EF80F" w:rsidR="009C511C" w:rsidRDefault="009C511C" w:rsidP="00415BD5">
      <w:pPr>
        <w:pStyle w:val="ListParagraph"/>
        <w:numPr>
          <w:ilvl w:val="0"/>
          <w:numId w:val="5"/>
        </w:numPr>
        <w:rPr>
          <w:rtl/>
        </w:rPr>
      </w:pPr>
      <w:r>
        <w:rPr>
          <w:rFonts w:hint="cs"/>
          <w:rtl/>
        </w:rPr>
        <w:lastRenderedPageBreak/>
        <w:t>تصويب در كميسيون</w:t>
      </w:r>
    </w:p>
    <w:p w14:paraId="187F20F5" w14:textId="4926F02C" w:rsidR="009C511C" w:rsidRPr="009C511C" w:rsidRDefault="009C511C" w:rsidP="00415BD5">
      <w:pPr>
        <w:pStyle w:val="ListParagraph"/>
        <w:numPr>
          <w:ilvl w:val="0"/>
          <w:numId w:val="5"/>
        </w:numPr>
        <w:rPr>
          <w:rtl/>
        </w:rPr>
      </w:pPr>
      <w:r>
        <w:rPr>
          <w:rFonts w:hint="cs"/>
          <w:rtl/>
        </w:rPr>
        <w:t>تصويب در صحن علني</w:t>
      </w:r>
    </w:p>
    <w:p w14:paraId="18318DD2" w14:textId="2FEC3B34" w:rsidR="00DE63B7" w:rsidRDefault="00DE63B7" w:rsidP="00DE63B7">
      <w:pPr>
        <w:pStyle w:val="Heading2"/>
        <w:rPr>
          <w:rtl/>
        </w:rPr>
      </w:pPr>
      <w:bookmarkStart w:id="13" w:name="_Toc144002043"/>
      <w:bookmarkStart w:id="14" w:name="_Toc144083819"/>
      <w:bookmarkStart w:id="15" w:name="_Toc144085911"/>
      <w:bookmarkStart w:id="16" w:name="_Toc144086138"/>
      <w:r>
        <w:rPr>
          <w:rFonts w:hint="cs"/>
          <w:rtl/>
        </w:rPr>
        <w:t>تنقيح</w:t>
      </w:r>
      <w:bookmarkEnd w:id="13"/>
      <w:bookmarkEnd w:id="14"/>
      <w:bookmarkEnd w:id="15"/>
      <w:bookmarkEnd w:id="16"/>
    </w:p>
    <w:p w14:paraId="14A80F63" w14:textId="036264AB" w:rsidR="009C511C" w:rsidRDefault="009C511C" w:rsidP="009C511C">
      <w:pPr>
        <w:rPr>
          <w:rtl/>
        </w:rPr>
      </w:pPr>
      <w:r>
        <w:rPr>
          <w:rFonts w:hint="cs"/>
          <w:rtl/>
        </w:rPr>
        <w:t>وظيفه انبارداري و طبقه‌بندي قوانين همان كاري است كه توسط معاونت قوانين تحت عنوان تنقيح قوانين به انجام مي‌رسد. محصول دسته‌بندي شده به بهره‌برداران ارائه مي‌شود.</w:t>
      </w:r>
      <w:r w:rsidR="003E0BC2">
        <w:rPr>
          <w:rFonts w:hint="cs"/>
          <w:rtl/>
        </w:rPr>
        <w:t xml:space="preserve"> چيدمان محصول نياز به ضوابط، شيوه‌ها و مبنايي دارد كه اگر به درستي تعيين نشده باشد، آشفتگي پديد مي‌آيد.</w:t>
      </w:r>
      <w:r w:rsidR="00071A9B">
        <w:rPr>
          <w:rFonts w:hint="cs"/>
          <w:rtl/>
        </w:rPr>
        <w:t xml:space="preserve"> </w:t>
      </w:r>
    </w:p>
    <w:p w14:paraId="70BCA6FF" w14:textId="17CB91A8" w:rsidR="00071A9B" w:rsidRDefault="00071A9B" w:rsidP="00071A9B">
      <w:pPr>
        <w:pStyle w:val="Heading3"/>
        <w:rPr>
          <w:rtl/>
        </w:rPr>
      </w:pPr>
      <w:bookmarkStart w:id="17" w:name="_Toc144002044"/>
      <w:bookmarkStart w:id="18" w:name="_Toc144083820"/>
      <w:bookmarkStart w:id="19" w:name="_Toc144085912"/>
      <w:bookmarkStart w:id="20" w:name="_Toc144086139"/>
      <w:r>
        <w:rPr>
          <w:rFonts w:hint="cs"/>
          <w:rtl/>
        </w:rPr>
        <w:t>تنقيح سنّتي</w:t>
      </w:r>
      <w:bookmarkEnd w:id="17"/>
      <w:bookmarkEnd w:id="18"/>
      <w:bookmarkEnd w:id="19"/>
      <w:bookmarkEnd w:id="20"/>
    </w:p>
    <w:p w14:paraId="779F9872" w14:textId="5CFDD00F" w:rsidR="00071A9B" w:rsidRPr="00071A9B" w:rsidRDefault="00071A9B" w:rsidP="00071A9B">
      <w:pPr>
        <w:rPr>
          <w:rtl/>
        </w:rPr>
      </w:pPr>
      <w:r>
        <w:rPr>
          <w:rFonts w:hint="cs"/>
          <w:rtl/>
        </w:rPr>
        <w:t>كارشناسان قوانين را بررسي مي‌كنند و پس از يافتن روابط ميان قوانين، موارد غيرمعتبر را حذف كرده و قوانين معتبر را ارائه مي‌دهند. اين شيوه آسيب‌هايي دارد؛ نخست اين‌كه همواره ملاحظه دو قانون با هم به حذف يكي منجر نخواهد شد. قوانين ممكن است هم را «تخصيص» بزنند و فقط بخشي از يك قانون حذف شود.</w:t>
      </w:r>
    </w:p>
    <w:p w14:paraId="4411550F" w14:textId="1023A4B9" w:rsidR="00071A9B" w:rsidRDefault="00071A9B" w:rsidP="00071A9B">
      <w:pPr>
        <w:pStyle w:val="Heading3"/>
        <w:rPr>
          <w:rtl/>
        </w:rPr>
      </w:pPr>
      <w:bookmarkStart w:id="21" w:name="_Toc144002045"/>
      <w:bookmarkStart w:id="22" w:name="_Toc144083821"/>
      <w:bookmarkStart w:id="23" w:name="_Toc144085913"/>
      <w:bookmarkStart w:id="24" w:name="_Toc144086140"/>
      <w:r>
        <w:rPr>
          <w:rFonts w:hint="cs"/>
          <w:rtl/>
        </w:rPr>
        <w:t>تنقيح نوين</w:t>
      </w:r>
      <w:bookmarkEnd w:id="21"/>
      <w:bookmarkEnd w:id="22"/>
      <w:bookmarkEnd w:id="23"/>
      <w:bookmarkEnd w:id="24"/>
    </w:p>
    <w:p w14:paraId="4272F572" w14:textId="1E455995" w:rsidR="00071A9B" w:rsidRPr="00071A9B" w:rsidRDefault="00071A9B" w:rsidP="00071A9B">
      <w:pPr>
        <w:rPr>
          <w:rtl/>
        </w:rPr>
      </w:pPr>
      <w:r>
        <w:rPr>
          <w:rFonts w:hint="cs"/>
          <w:rtl/>
        </w:rPr>
        <w:t>در شيوه جديد</w:t>
      </w:r>
      <w:r w:rsidR="00415BD5">
        <w:rPr>
          <w:rFonts w:hint="cs"/>
          <w:rtl/>
        </w:rPr>
        <w:t>،</w:t>
      </w:r>
      <w:r>
        <w:rPr>
          <w:rFonts w:hint="cs"/>
          <w:rtl/>
        </w:rPr>
        <w:t xml:space="preserve"> «اثرسنجي» قوانين نسبت به هم ملاك است.</w:t>
      </w:r>
    </w:p>
    <w:p w14:paraId="2A0C5D61" w14:textId="3279311E" w:rsidR="00DE63B7" w:rsidRDefault="00DE63B7" w:rsidP="00DE63B7">
      <w:pPr>
        <w:pStyle w:val="Heading2"/>
        <w:rPr>
          <w:rtl/>
        </w:rPr>
      </w:pPr>
      <w:bookmarkStart w:id="25" w:name="_Toc144002046"/>
      <w:bookmarkStart w:id="26" w:name="_Toc144083822"/>
      <w:bookmarkStart w:id="27" w:name="_Toc144085914"/>
      <w:bookmarkStart w:id="28" w:name="_Toc144086141"/>
      <w:r>
        <w:rPr>
          <w:rFonts w:hint="cs"/>
          <w:rtl/>
        </w:rPr>
        <w:t>تفسير</w:t>
      </w:r>
      <w:bookmarkEnd w:id="25"/>
      <w:bookmarkEnd w:id="26"/>
      <w:bookmarkEnd w:id="27"/>
      <w:bookmarkEnd w:id="28"/>
    </w:p>
    <w:p w14:paraId="6E5E1866" w14:textId="6AEF0A41" w:rsidR="009C511C" w:rsidRDefault="009C511C" w:rsidP="009C511C">
      <w:pPr>
        <w:rPr>
          <w:rtl/>
        </w:rPr>
      </w:pPr>
      <w:r>
        <w:rPr>
          <w:rFonts w:hint="cs"/>
          <w:rtl/>
        </w:rPr>
        <w:t>اگر دستگاه‌هاي اجرايي مشكلي در فهم يا اجراي قانون داشته باشند، به اين‌كه بگويند مثلاً اين ماده از قانون قابل تحقق نيست، يا مشخص شود جامعه از اجراي يك قانون متضرّر مي‌شود و يا كاستي‌هايي در قانون وجود دارد كه جلوي ضررهاي اجتماعي را نمي‌گيرد، اين نقص‌ها نياز به خدمات پس از فروش دارد كه همان تفسير قانون است.</w:t>
      </w:r>
    </w:p>
    <w:p w14:paraId="7528109A" w14:textId="6006F93D" w:rsidR="00391551" w:rsidRDefault="00391551" w:rsidP="00391551">
      <w:pPr>
        <w:pStyle w:val="Heading3"/>
        <w:rPr>
          <w:rtl/>
        </w:rPr>
      </w:pPr>
      <w:bookmarkStart w:id="29" w:name="_Toc144002047"/>
      <w:bookmarkStart w:id="30" w:name="_Toc144083823"/>
      <w:bookmarkStart w:id="31" w:name="_Toc144085915"/>
      <w:bookmarkStart w:id="32" w:name="_Toc144086142"/>
      <w:r>
        <w:rPr>
          <w:rFonts w:hint="cs"/>
          <w:rtl/>
        </w:rPr>
        <w:t>استفساريه</w:t>
      </w:r>
      <w:bookmarkEnd w:id="29"/>
      <w:bookmarkEnd w:id="30"/>
      <w:bookmarkEnd w:id="31"/>
      <w:bookmarkEnd w:id="32"/>
    </w:p>
    <w:p w14:paraId="160BD752" w14:textId="1D3CA6F6" w:rsidR="00391551" w:rsidRDefault="00391551" w:rsidP="009C511C">
      <w:pPr>
        <w:rPr>
          <w:rtl/>
        </w:rPr>
      </w:pPr>
      <w:r>
        <w:rPr>
          <w:rFonts w:hint="cs"/>
          <w:rtl/>
        </w:rPr>
        <w:t xml:space="preserve">مجلس روند تفسير را با «استفساريه» آغاز مي‌كند. اين را نمايندگان در قالب يك «طرح» به صحن علني مجلس مي‌فرستند؛ سؤالي را طرح مي‌كنند و به آن پاسخ مي‌دهند. اگر چه نام آن «تفسير قانوني» است، ولي روند اجراي آن با خود قانونگذاري تفاوتي ندارد. </w:t>
      </w:r>
      <w:r w:rsidR="008A299D">
        <w:rPr>
          <w:rFonts w:hint="cs"/>
          <w:rtl/>
        </w:rPr>
        <w:t>تفسير نيز به تأييد شوراي نگهبان نياز دارد.</w:t>
      </w:r>
    </w:p>
    <w:p w14:paraId="6F695313" w14:textId="66EBDF50" w:rsidR="00391551" w:rsidRDefault="00EE4B80" w:rsidP="009C511C">
      <w:pPr>
        <w:rPr>
          <w:rtl/>
        </w:rPr>
      </w:pPr>
      <w:r>
        <w:rPr>
          <w:noProof/>
          <w:rtl/>
          <w:lang w:val="fa-IR"/>
        </w:rPr>
        <w:drawing>
          <wp:anchor distT="0" distB="0" distL="114300" distR="114300" simplePos="0" relativeHeight="251662336" behindDoc="1" locked="1" layoutInCell="1" allowOverlap="1" wp14:anchorId="4EAEAEED" wp14:editId="03B7DF7C">
            <wp:simplePos x="0" y="0"/>
            <wp:positionH relativeFrom="column">
              <wp:posOffset>10160</wp:posOffset>
            </wp:positionH>
            <wp:positionV relativeFrom="page">
              <wp:posOffset>6495415</wp:posOffset>
            </wp:positionV>
            <wp:extent cx="3460115" cy="3239135"/>
            <wp:effectExtent l="76200" t="0" r="102235" b="0"/>
            <wp:wrapTight wrapText="right">
              <wp:wrapPolygon edited="0">
                <wp:start x="6897" y="1270"/>
                <wp:lineTo x="5233" y="1524"/>
                <wp:lineTo x="5233" y="3557"/>
                <wp:lineTo x="3924" y="3557"/>
                <wp:lineTo x="3924" y="5589"/>
                <wp:lineTo x="-476" y="5589"/>
                <wp:lineTo x="-476" y="11687"/>
                <wp:lineTo x="2259" y="11687"/>
                <wp:lineTo x="2259" y="13720"/>
                <wp:lineTo x="2735" y="13720"/>
                <wp:lineTo x="2259" y="15752"/>
                <wp:lineTo x="2259" y="20325"/>
                <wp:lineTo x="2854" y="20579"/>
                <wp:lineTo x="18671" y="20579"/>
                <wp:lineTo x="18790" y="20325"/>
                <wp:lineTo x="19265" y="19817"/>
                <wp:lineTo x="19265" y="11687"/>
                <wp:lineTo x="20692" y="11687"/>
                <wp:lineTo x="22119" y="10671"/>
                <wp:lineTo x="22119" y="7495"/>
                <wp:lineTo x="19979" y="6479"/>
                <wp:lineTo x="17719" y="5589"/>
                <wp:lineTo x="15816" y="3684"/>
                <wp:lineTo x="14508" y="1270"/>
                <wp:lineTo x="6897" y="1270"/>
              </wp:wrapPolygon>
            </wp:wrapTight>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r w:rsidR="00391551">
        <w:rPr>
          <w:rFonts w:hint="cs"/>
          <w:rtl/>
        </w:rPr>
        <w:t>اصول و ضوابط تفسير در اين روند به كار گرفته نمي‌شود. به عنوان مثال غرض از تفسير قانون گاهي تشخيص مراد مقنّن در هنگام وضع قانون است. براي رسيدن به پاسخ اين سؤال بايستي به مشروح مذاكرات و مقدمات توليد قانون توجه شود كه مجلس به اين امور نمي‌پردازد.</w:t>
      </w:r>
    </w:p>
    <w:p w14:paraId="65622650" w14:textId="6FBEFA67" w:rsidR="00C83D14" w:rsidRDefault="00C83D14" w:rsidP="00C83D14">
      <w:pPr>
        <w:pStyle w:val="Heading3"/>
        <w:rPr>
          <w:rtl/>
        </w:rPr>
      </w:pPr>
      <w:bookmarkStart w:id="33" w:name="_Toc144002048"/>
      <w:bookmarkStart w:id="34" w:name="_Toc144083824"/>
      <w:bookmarkStart w:id="35" w:name="_Toc144085916"/>
      <w:bookmarkStart w:id="36" w:name="_Toc144086143"/>
      <w:r>
        <w:rPr>
          <w:rFonts w:hint="cs"/>
          <w:rtl/>
        </w:rPr>
        <w:t>اداره مشاوره‌هاي تقنيني</w:t>
      </w:r>
      <w:bookmarkEnd w:id="33"/>
      <w:bookmarkEnd w:id="34"/>
      <w:bookmarkEnd w:id="35"/>
      <w:bookmarkEnd w:id="36"/>
    </w:p>
    <w:p w14:paraId="58D20709" w14:textId="1ACD6A61" w:rsidR="00C83D14" w:rsidRDefault="00C83D14" w:rsidP="009C511C">
      <w:pPr>
        <w:rPr>
          <w:rtl/>
        </w:rPr>
      </w:pPr>
      <w:r>
        <w:rPr>
          <w:rFonts w:hint="cs"/>
          <w:rtl/>
        </w:rPr>
        <w:t>اداره جديدي با عنوان مشاوره‌هاي تقنيني بايد تأسيس شود كه به صورت علمي به اين كار بپردازد.</w:t>
      </w:r>
      <w:r w:rsidR="00EE4B80">
        <w:rPr>
          <w:rFonts w:hint="cs"/>
          <w:rtl/>
        </w:rPr>
        <w:t xml:space="preserve"> اين اداره نياز به «آينده‌پژوهي» و «نوآوري» هم دارد.</w:t>
      </w:r>
    </w:p>
    <w:p w14:paraId="0B8945D1" w14:textId="22FAE866" w:rsidR="00C83D14" w:rsidRDefault="00C83D14" w:rsidP="00C83D14">
      <w:pPr>
        <w:pStyle w:val="Heading2"/>
        <w:rPr>
          <w:rtl/>
        </w:rPr>
      </w:pPr>
      <w:bookmarkStart w:id="37" w:name="_Toc144002049"/>
      <w:bookmarkStart w:id="38" w:name="_Toc144083825"/>
      <w:bookmarkStart w:id="39" w:name="_Toc144085917"/>
      <w:bookmarkStart w:id="40" w:name="_Toc144086144"/>
      <w:r>
        <w:rPr>
          <w:rFonts w:hint="cs"/>
          <w:rtl/>
        </w:rPr>
        <w:t>نظرسنجي</w:t>
      </w:r>
      <w:bookmarkEnd w:id="37"/>
      <w:bookmarkEnd w:id="38"/>
      <w:bookmarkEnd w:id="39"/>
      <w:bookmarkEnd w:id="40"/>
    </w:p>
    <w:p w14:paraId="6373BFB9" w14:textId="258CD306" w:rsidR="00C83D14" w:rsidRDefault="00C83D14" w:rsidP="00C83D14">
      <w:pPr>
        <w:rPr>
          <w:rtl/>
        </w:rPr>
      </w:pPr>
      <w:r>
        <w:rPr>
          <w:rFonts w:hint="cs"/>
          <w:rtl/>
        </w:rPr>
        <w:t>همان‌گونه كه يك كارخانه بايد نياز جامعه را پيش از توليد بررسي كند تا بتواند محصولي متناسب با نياز بازار توليد نمايد، مجلس نيز محتاج نظرسنجي است. سامانه‌اي براي اين منظور نياز است كه تمامي اصناف، سمن‌ها و نهادهاي مردمي و حتي خود مردم عادي بتوانند از طريق اين سامانه نيازهاي قانوني خود را اعلام كنند.</w:t>
      </w:r>
    </w:p>
    <w:p w14:paraId="4A4B2FEE" w14:textId="71FBF1BE" w:rsidR="00A75ABC" w:rsidRDefault="00A75ABC" w:rsidP="00C83D14">
      <w:pPr>
        <w:rPr>
          <w:rtl/>
        </w:rPr>
      </w:pPr>
      <w:r>
        <w:rPr>
          <w:rFonts w:hint="cs"/>
          <w:rtl/>
        </w:rPr>
        <w:t>مجلس و دولت امروزه به اين ابزار نياز دارند و يكي از مشكلات قانونگذاري در حال حاضر فقدان آن است.</w:t>
      </w:r>
    </w:p>
    <w:p w14:paraId="078DE54C" w14:textId="19E96204" w:rsidR="00C62497" w:rsidRDefault="00C62497" w:rsidP="00C62497">
      <w:pPr>
        <w:pStyle w:val="Heading2"/>
        <w:rPr>
          <w:rtl/>
        </w:rPr>
      </w:pPr>
      <w:bookmarkStart w:id="41" w:name="_Toc144002050"/>
      <w:bookmarkStart w:id="42" w:name="_Toc144083826"/>
      <w:bookmarkStart w:id="43" w:name="_Toc144085918"/>
      <w:bookmarkStart w:id="44" w:name="_Toc144086145"/>
      <w:r>
        <w:rPr>
          <w:rFonts w:hint="cs"/>
          <w:rtl/>
        </w:rPr>
        <w:t>اثرسنجي</w:t>
      </w:r>
      <w:bookmarkEnd w:id="41"/>
      <w:bookmarkEnd w:id="42"/>
      <w:bookmarkEnd w:id="43"/>
      <w:bookmarkEnd w:id="44"/>
    </w:p>
    <w:p w14:paraId="5FFB2F1E" w14:textId="24951160" w:rsidR="00C62497" w:rsidRDefault="00C62497" w:rsidP="00C62497">
      <w:pPr>
        <w:rPr>
          <w:rtl/>
        </w:rPr>
      </w:pPr>
      <w:r>
        <w:rPr>
          <w:rFonts w:hint="cs"/>
          <w:rtl/>
        </w:rPr>
        <w:t>از سوي ديگر، مجلس بايد از دستگاه‌هاي اجرايي بخواهد تا ميزان فايده هر قانون را گزارش كنند. در اين صورت حلقه قانونگذاري كامل مي‌شود و مانند يك كارخانه كه توليد خود را پس از بررسي نظرات مصرف‌كنندگان اصلاح مي‌كند، مجلس نيز مي‌تواند اثربخشي قوانين را بهبود بخشد.</w:t>
      </w:r>
    </w:p>
    <w:p w14:paraId="0F55BE6A" w14:textId="444C6739" w:rsidR="00C62497" w:rsidRDefault="00EE4B80" w:rsidP="00EE4B80">
      <w:pPr>
        <w:pStyle w:val="Heading1"/>
        <w:rPr>
          <w:rtl/>
        </w:rPr>
      </w:pPr>
      <w:bookmarkStart w:id="45" w:name="_Toc144002051"/>
      <w:bookmarkStart w:id="46" w:name="_Toc144083827"/>
      <w:bookmarkStart w:id="47" w:name="_Toc144085919"/>
      <w:bookmarkStart w:id="48" w:name="_Toc144086146"/>
      <w:r>
        <w:rPr>
          <w:rFonts w:hint="cs"/>
          <w:rtl/>
        </w:rPr>
        <w:t>مطالعات تطبيقي</w:t>
      </w:r>
      <w:bookmarkEnd w:id="45"/>
      <w:bookmarkEnd w:id="46"/>
      <w:bookmarkEnd w:id="47"/>
      <w:bookmarkEnd w:id="48"/>
    </w:p>
    <w:p w14:paraId="1E4D7CF7" w14:textId="5E7883E9" w:rsidR="00EE4B80" w:rsidRDefault="00EE4B80" w:rsidP="00EE4B80">
      <w:pPr>
        <w:rPr>
          <w:rtl/>
        </w:rPr>
      </w:pPr>
      <w:r>
        <w:rPr>
          <w:rFonts w:hint="cs"/>
          <w:rtl/>
        </w:rPr>
        <w:t>براي ارتقاي فرآيند قانونگذاري لازم است شيوه‌هاي پيشرفته قانونگذاري در كشورهاي ديگر بررسي و مطالعه شود:</w:t>
      </w:r>
    </w:p>
    <w:p w14:paraId="58DD939D" w14:textId="2D0D361E" w:rsidR="00EE4B80" w:rsidRDefault="00EE4B80" w:rsidP="00306794">
      <w:pPr>
        <w:pStyle w:val="ListParagraph"/>
        <w:numPr>
          <w:ilvl w:val="0"/>
          <w:numId w:val="4"/>
        </w:numPr>
      </w:pPr>
      <w:r>
        <w:rPr>
          <w:rFonts w:hint="cs"/>
          <w:rtl/>
        </w:rPr>
        <w:t>كشورهاي با سابقه طولاني در پارلمان‌داري</w:t>
      </w:r>
    </w:p>
    <w:p w14:paraId="54D3BCC4" w14:textId="50695F9B" w:rsidR="00EE4B80" w:rsidRDefault="00306794" w:rsidP="00306794">
      <w:pPr>
        <w:pStyle w:val="ListParagraph"/>
        <w:numPr>
          <w:ilvl w:val="0"/>
          <w:numId w:val="4"/>
        </w:numPr>
      </w:pPr>
      <w:r w:rsidRPr="00306794">
        <w:rPr>
          <w:noProof/>
          <w:rtl/>
        </w:rPr>
        <w:drawing>
          <wp:anchor distT="0" distB="0" distL="114300" distR="114300" simplePos="0" relativeHeight="251664384" behindDoc="0" locked="0" layoutInCell="1" allowOverlap="1" wp14:anchorId="530FBADD" wp14:editId="20F2730E">
            <wp:simplePos x="0" y="0"/>
            <wp:positionH relativeFrom="column">
              <wp:posOffset>2540</wp:posOffset>
            </wp:positionH>
            <wp:positionV relativeFrom="paragraph">
              <wp:posOffset>130331</wp:posOffset>
            </wp:positionV>
            <wp:extent cx="3596640" cy="1267460"/>
            <wp:effectExtent l="0" t="0" r="381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6294421911.jpg"/>
                    <pic:cNvPicPr/>
                  </pic:nvPicPr>
                  <pic:blipFill rotWithShape="1">
                    <a:blip r:embed="rId16">
                      <a:extLst>
                        <a:ext uri="{BEBA8EAE-BF5A-486C-A8C5-ECC9F3942E4B}">
                          <a14:imgProps xmlns:a14="http://schemas.microsoft.com/office/drawing/2010/main">
                            <a14:imgLayer r:embed="rId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39515" t="71112" r="11445" b="5798"/>
                    <a:stretch/>
                  </pic:blipFill>
                  <pic:spPr bwMode="auto">
                    <a:xfrm>
                      <a:off x="0" y="0"/>
                      <a:ext cx="3596640" cy="126746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4B80">
        <w:rPr>
          <w:rFonts w:hint="cs"/>
          <w:rtl/>
        </w:rPr>
        <w:t>كشورهاي هم‌خانواده حقوقي؛ آن‌هايي كه مبناي مشتركي با ما در قانونگذاري دارند.</w:t>
      </w:r>
    </w:p>
    <w:p w14:paraId="37C3EFA4" w14:textId="54FD7045" w:rsidR="00EE4B80" w:rsidRDefault="008E7611" w:rsidP="00EE4B80">
      <w:pPr>
        <w:pStyle w:val="ListParagraph"/>
        <w:numPr>
          <w:ilvl w:val="0"/>
          <w:numId w:val="4"/>
        </w:numPr>
      </w:pPr>
      <w:r>
        <w:rPr>
          <w:rFonts w:hint="cs"/>
          <w:rtl/>
        </w:rPr>
        <w:t>كشورهاي هم‌ايدئولوژي؛ آن‌هايي كه با ما جهان‌بيني يكساني دارند.</w:t>
      </w:r>
    </w:p>
    <w:p w14:paraId="19C8E52E" w14:textId="6F880854" w:rsidR="008E7611" w:rsidRDefault="008E7611" w:rsidP="00EE4B80">
      <w:pPr>
        <w:pStyle w:val="ListParagraph"/>
        <w:numPr>
          <w:ilvl w:val="0"/>
          <w:numId w:val="4"/>
        </w:numPr>
      </w:pPr>
      <w:r>
        <w:rPr>
          <w:rFonts w:hint="cs"/>
          <w:rtl/>
        </w:rPr>
        <w:t>كشورهاي هم‌جوار</w:t>
      </w:r>
    </w:p>
    <w:p w14:paraId="50B48430" w14:textId="7FE3924E" w:rsidR="00306794" w:rsidRDefault="00040AA7" w:rsidP="00306794">
      <w:pPr>
        <w:rPr>
          <w:rtl/>
        </w:rPr>
      </w:pPr>
      <w:r w:rsidRPr="00306794">
        <w:rPr>
          <w:noProof/>
          <w:rtl/>
        </w:rPr>
        <w:drawing>
          <wp:anchor distT="0" distB="0" distL="114300" distR="114300" simplePos="0" relativeHeight="251666432" behindDoc="0" locked="0" layoutInCell="1" allowOverlap="1" wp14:anchorId="6A1B1598" wp14:editId="6F458C41">
            <wp:simplePos x="0" y="0"/>
            <wp:positionH relativeFrom="column">
              <wp:posOffset>-48895</wp:posOffset>
            </wp:positionH>
            <wp:positionV relativeFrom="paragraph">
              <wp:posOffset>628650</wp:posOffset>
            </wp:positionV>
            <wp:extent cx="3321050" cy="2907030"/>
            <wp:effectExtent l="0" t="0" r="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6294421911.jpg"/>
                    <pic:cNvPicPr/>
                  </pic:nvPicPr>
                  <pic:blipFill rotWithShape="1">
                    <a:blip r:embed="rId17" cstate="print">
                      <a:extLst>
                        <a:ext uri="{BEBA8EAE-BF5A-486C-A8C5-ECC9F3942E4B}">
                          <a14:imgProps xmlns:a14="http://schemas.microsoft.com/office/drawing/2010/main">
                            <a14:imgLayer r:embed="rId18">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19965" t="14991" r="11412" b="4820"/>
                    <a:stretch/>
                  </pic:blipFill>
                  <pic:spPr bwMode="auto">
                    <a:xfrm>
                      <a:off x="0" y="0"/>
                      <a:ext cx="3321050" cy="290703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6794">
        <w:rPr>
          <w:rFonts w:hint="cs"/>
          <w:rtl/>
        </w:rPr>
        <w:t>مطالعات تطبيقي مي‌تواند ويژگي‌هاي مثبت قانونگذاري در كشورهاي فوق را نشان دهد، تا بتوان فرآيند قانونگذاري را با استفاده از اين تجارب بشري بهود بخشيد.</w:t>
      </w:r>
      <w:r w:rsidR="009F3609">
        <w:rPr>
          <w:rFonts w:hint="cs"/>
          <w:rtl/>
        </w:rPr>
        <w:t xml:space="preserve"> سامانه‌هاي مديريت قوانين مي‌تواند به بانك‌هاي اطلاعاتي قوانين ساير كشورها متصل باشد و پيوسته به روز گردد.</w:t>
      </w:r>
    </w:p>
    <w:p w14:paraId="08E70E49" w14:textId="0D3A708F" w:rsidR="00415BD5" w:rsidRDefault="00415BD5" w:rsidP="00415BD5">
      <w:pPr>
        <w:pStyle w:val="Heading1"/>
        <w:rPr>
          <w:rtl/>
        </w:rPr>
      </w:pPr>
      <w:bookmarkStart w:id="49" w:name="_Toc144002052"/>
      <w:bookmarkStart w:id="50" w:name="_Toc144083828"/>
      <w:bookmarkStart w:id="51" w:name="_Toc144085920"/>
      <w:bookmarkStart w:id="52" w:name="_Toc144086147"/>
      <w:r>
        <w:rPr>
          <w:rFonts w:hint="cs"/>
          <w:rtl/>
        </w:rPr>
        <w:t>سامانه‌هاي تقنيني</w:t>
      </w:r>
      <w:bookmarkEnd w:id="49"/>
      <w:bookmarkEnd w:id="50"/>
      <w:bookmarkEnd w:id="51"/>
      <w:bookmarkEnd w:id="52"/>
    </w:p>
    <w:p w14:paraId="7BBFDE49" w14:textId="5370B450" w:rsidR="00415BD5" w:rsidRDefault="00415BD5" w:rsidP="00040AA7">
      <w:pPr>
        <w:pStyle w:val="Heading2"/>
        <w:rPr>
          <w:rtl/>
        </w:rPr>
      </w:pPr>
      <w:bookmarkStart w:id="53" w:name="_Toc144002053"/>
      <w:bookmarkStart w:id="54" w:name="_Toc144083829"/>
      <w:bookmarkStart w:id="55" w:name="_Toc144085921"/>
      <w:bookmarkStart w:id="56" w:name="_Toc144086148"/>
      <w:r>
        <w:rPr>
          <w:rFonts w:hint="cs"/>
          <w:rtl/>
        </w:rPr>
        <w:t>سامانه چرخه قانونگذاري</w:t>
      </w:r>
      <w:bookmarkEnd w:id="53"/>
      <w:bookmarkEnd w:id="54"/>
      <w:bookmarkEnd w:id="55"/>
      <w:bookmarkEnd w:id="56"/>
    </w:p>
    <w:p w14:paraId="5288912A" w14:textId="7A48F1B4" w:rsidR="00415BD5" w:rsidRDefault="00415BD5" w:rsidP="00415BD5">
      <w:pPr>
        <w:rPr>
          <w:rtl/>
        </w:rPr>
      </w:pPr>
      <w:r>
        <w:rPr>
          <w:rFonts w:hint="cs"/>
          <w:rtl/>
        </w:rPr>
        <w:t>آغاز فعاليت در اين سامانه از «تقديم» طرح يا لايحه است. بايد تا «لازم‌الاجرا شدن»</w:t>
      </w:r>
      <w:r w:rsidR="00040AA7">
        <w:rPr>
          <w:rFonts w:hint="cs"/>
          <w:rtl/>
        </w:rPr>
        <w:t>،</w:t>
      </w:r>
      <w:r>
        <w:rPr>
          <w:rFonts w:hint="cs"/>
          <w:rtl/>
        </w:rPr>
        <w:t xml:space="preserve"> تمامي فعاليت‌هاي تقنين را مديريت كند. همان فرآيندي كه در جلسه پيش توضيح داده شد.</w:t>
      </w:r>
    </w:p>
    <w:p w14:paraId="5B6D89D0" w14:textId="50A3DD17" w:rsidR="00040AA7" w:rsidRDefault="00040AA7" w:rsidP="00415BD5">
      <w:pPr>
        <w:rPr>
          <w:rtl/>
        </w:rPr>
      </w:pPr>
      <w:r>
        <w:rPr>
          <w:rFonts w:hint="cs"/>
          <w:rtl/>
        </w:rPr>
        <w:t>اين سامانه در حال حاضر ناقص است و بسياري از فعاليت‌هاي لازم در آن پيش‌بيني نشده است.</w:t>
      </w:r>
    </w:p>
    <w:p w14:paraId="39659126" w14:textId="53F27766" w:rsidR="00040AA7" w:rsidRDefault="00040AA7" w:rsidP="00040AA7">
      <w:pPr>
        <w:pStyle w:val="Heading2"/>
        <w:rPr>
          <w:rtl/>
        </w:rPr>
      </w:pPr>
      <w:bookmarkStart w:id="57" w:name="_Toc144002054"/>
      <w:bookmarkStart w:id="58" w:name="_Toc144083830"/>
      <w:bookmarkStart w:id="59" w:name="_Toc144085922"/>
      <w:bookmarkStart w:id="60" w:name="_Toc144086149"/>
      <w:r>
        <w:rPr>
          <w:rFonts w:hint="cs"/>
          <w:rtl/>
        </w:rPr>
        <w:t>سامانه تجزيه و تحليل قوانين</w:t>
      </w:r>
      <w:bookmarkEnd w:id="57"/>
      <w:bookmarkEnd w:id="58"/>
      <w:bookmarkEnd w:id="59"/>
      <w:bookmarkEnd w:id="60"/>
    </w:p>
    <w:p w14:paraId="2C661B2F" w14:textId="0E996539" w:rsidR="00040AA7" w:rsidRDefault="00040AA7" w:rsidP="00040AA7">
      <w:pPr>
        <w:rPr>
          <w:rtl/>
        </w:rPr>
      </w:pPr>
      <w:r>
        <w:rPr>
          <w:rFonts w:hint="cs"/>
          <w:rtl/>
        </w:rPr>
        <w:t>پس از لازم‌الاجرا شدن قانون، نياز به سامانه ديگري است كه بتواند به عنوان بانك قوانين، طبقه‌بندي، كدگذاري، تنقيح و رسيدن به قانون جامع را ممكن سازد. سامانه فعلي بانك قوانين را دارد كه پس از ارتقا مي‌تواند تا دستيابي به قانون جامع همه فعاليت‌ها را پوشش دهد.</w:t>
      </w:r>
    </w:p>
    <w:p w14:paraId="2DCD00DE" w14:textId="1DC7BF98" w:rsidR="00040AA7" w:rsidRDefault="00040AA7" w:rsidP="00040AA7">
      <w:pPr>
        <w:pStyle w:val="Heading3"/>
        <w:rPr>
          <w:rtl/>
        </w:rPr>
      </w:pPr>
      <w:bookmarkStart w:id="61" w:name="_Toc144002055"/>
      <w:bookmarkStart w:id="62" w:name="_Toc144083831"/>
      <w:bookmarkStart w:id="63" w:name="_Toc144085923"/>
      <w:bookmarkStart w:id="64" w:name="_Toc144086150"/>
      <w:r>
        <w:rPr>
          <w:rFonts w:hint="cs"/>
          <w:rtl/>
        </w:rPr>
        <w:t>بانك قوانين</w:t>
      </w:r>
      <w:bookmarkEnd w:id="61"/>
      <w:bookmarkEnd w:id="62"/>
      <w:bookmarkEnd w:id="63"/>
      <w:bookmarkEnd w:id="64"/>
    </w:p>
    <w:p w14:paraId="130DF7EC" w14:textId="162D3BA9" w:rsidR="00040AA7" w:rsidRDefault="007013BC" w:rsidP="00040AA7">
      <w:pPr>
        <w:rPr>
          <w:rtl/>
        </w:rPr>
      </w:pPr>
      <w:r w:rsidRPr="00306794">
        <w:rPr>
          <w:noProof/>
          <w:rtl/>
        </w:rPr>
        <w:drawing>
          <wp:anchor distT="0" distB="0" distL="114300" distR="114300" simplePos="0" relativeHeight="251668480" behindDoc="0" locked="0" layoutInCell="1" allowOverlap="1" wp14:anchorId="2DDB557A" wp14:editId="5400B3C4">
            <wp:simplePos x="0" y="0"/>
            <wp:positionH relativeFrom="column">
              <wp:posOffset>-5715</wp:posOffset>
            </wp:positionH>
            <wp:positionV relativeFrom="paragraph">
              <wp:posOffset>332740</wp:posOffset>
            </wp:positionV>
            <wp:extent cx="2380615" cy="3085465"/>
            <wp:effectExtent l="0" t="0" r="19685" b="63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6294421911.jpg"/>
                    <pic:cNvPicPr/>
                  </pic:nvPicPr>
                  <pic:blipFill rotWithShape="1">
                    <a:blip r:embed="rId17" cstate="print">
                      <a:extLst>
                        <a:ext uri="{BEBA8EAE-BF5A-486C-A8C5-ECC9F3942E4B}">
                          <a14:imgProps xmlns:a14="http://schemas.microsoft.com/office/drawing/2010/main">
                            <a14:imgLayer r:embed="rId18">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54453" t="55373" r="20924" b="2023"/>
                    <a:stretch/>
                  </pic:blipFill>
                  <pic:spPr bwMode="auto">
                    <a:xfrm>
                      <a:off x="0" y="0"/>
                      <a:ext cx="2380615" cy="308546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0AA7">
        <w:rPr>
          <w:rFonts w:hint="cs"/>
          <w:rtl/>
        </w:rPr>
        <w:t>حاوي تمام قوانيني است كه از انطباق آن‌ها با اصل سند قانون اطمينان حاصل شده است.</w:t>
      </w:r>
      <w:r>
        <w:rPr>
          <w:rFonts w:hint="cs"/>
          <w:rtl/>
        </w:rPr>
        <w:t xml:space="preserve"> تاريخ و شاخصه‌هاي هر قانون نيز كاملاً مشخص شده است.</w:t>
      </w:r>
    </w:p>
    <w:p w14:paraId="2D3A6B1F" w14:textId="14B88C6F" w:rsidR="00040AA7" w:rsidRDefault="00040AA7" w:rsidP="00040AA7">
      <w:pPr>
        <w:pStyle w:val="Heading3"/>
        <w:rPr>
          <w:rtl/>
        </w:rPr>
      </w:pPr>
      <w:bookmarkStart w:id="65" w:name="_Toc144002056"/>
      <w:bookmarkStart w:id="66" w:name="_Toc144083832"/>
      <w:bookmarkStart w:id="67" w:name="_Toc144085924"/>
      <w:bookmarkStart w:id="68" w:name="_Toc144086151"/>
      <w:r>
        <w:rPr>
          <w:rFonts w:hint="cs"/>
          <w:rtl/>
        </w:rPr>
        <w:t>طبقه‌بندي</w:t>
      </w:r>
      <w:bookmarkEnd w:id="65"/>
      <w:bookmarkEnd w:id="66"/>
      <w:bookmarkEnd w:id="67"/>
      <w:bookmarkEnd w:id="68"/>
    </w:p>
    <w:p w14:paraId="6D7D5D25" w14:textId="4F4375AC" w:rsidR="00040AA7" w:rsidRDefault="00040AA7" w:rsidP="00040AA7">
      <w:pPr>
        <w:rPr>
          <w:rtl/>
        </w:rPr>
      </w:pPr>
      <w:r>
        <w:rPr>
          <w:rFonts w:hint="cs"/>
          <w:rtl/>
        </w:rPr>
        <w:t>[توضيح داده نشد]</w:t>
      </w:r>
    </w:p>
    <w:p w14:paraId="6A062AD6" w14:textId="22004F73" w:rsidR="00040AA7" w:rsidRPr="00040AA7" w:rsidRDefault="00040AA7" w:rsidP="00040AA7">
      <w:pPr>
        <w:pStyle w:val="Heading3"/>
        <w:rPr>
          <w:rtl/>
        </w:rPr>
      </w:pPr>
      <w:bookmarkStart w:id="69" w:name="_Toc144002057"/>
      <w:bookmarkStart w:id="70" w:name="_Toc144083833"/>
      <w:bookmarkStart w:id="71" w:name="_Toc144085925"/>
      <w:bookmarkStart w:id="72" w:name="_Toc144086152"/>
      <w:r>
        <w:rPr>
          <w:rFonts w:hint="cs"/>
          <w:rtl/>
        </w:rPr>
        <w:t>كدگذاري</w:t>
      </w:r>
      <w:bookmarkEnd w:id="69"/>
      <w:bookmarkEnd w:id="70"/>
      <w:bookmarkEnd w:id="71"/>
      <w:bookmarkEnd w:id="72"/>
    </w:p>
    <w:p w14:paraId="48C15294" w14:textId="77777777" w:rsidR="00040AA7" w:rsidRDefault="00040AA7" w:rsidP="00040AA7">
      <w:pPr>
        <w:rPr>
          <w:rtl/>
        </w:rPr>
      </w:pPr>
      <w:r>
        <w:rPr>
          <w:rFonts w:hint="cs"/>
          <w:rtl/>
        </w:rPr>
        <w:t>[توضيح داده نشد]</w:t>
      </w:r>
    </w:p>
    <w:p w14:paraId="7DB821EF" w14:textId="5B04CDBC" w:rsidR="00040AA7" w:rsidRDefault="00040AA7" w:rsidP="00040AA7">
      <w:pPr>
        <w:pStyle w:val="Heading3"/>
        <w:rPr>
          <w:rtl/>
        </w:rPr>
      </w:pPr>
      <w:bookmarkStart w:id="73" w:name="_Toc144002058"/>
      <w:bookmarkStart w:id="74" w:name="_Toc144083834"/>
      <w:bookmarkStart w:id="75" w:name="_Toc144085926"/>
      <w:bookmarkStart w:id="76" w:name="_Toc144086153"/>
      <w:r>
        <w:rPr>
          <w:rFonts w:hint="cs"/>
          <w:rtl/>
        </w:rPr>
        <w:t>تنقيح</w:t>
      </w:r>
      <w:bookmarkEnd w:id="73"/>
      <w:bookmarkEnd w:id="74"/>
      <w:bookmarkEnd w:id="75"/>
      <w:bookmarkEnd w:id="76"/>
    </w:p>
    <w:p w14:paraId="094B01BB" w14:textId="6F1E31DA" w:rsidR="00040AA7" w:rsidRDefault="00040AA7" w:rsidP="00040AA7">
      <w:pPr>
        <w:rPr>
          <w:rtl/>
        </w:rPr>
      </w:pPr>
      <w:r>
        <w:rPr>
          <w:rFonts w:hint="cs"/>
          <w:rtl/>
        </w:rPr>
        <w:t>از طريق اثرسنجي قوانين جديد با قوانين پيشين، طبقه‌بندي قوانين حاصل مي‌شود.</w:t>
      </w:r>
      <w:r w:rsidR="00D96889">
        <w:rPr>
          <w:rFonts w:hint="cs"/>
          <w:rtl/>
        </w:rPr>
        <w:t xml:space="preserve"> البته به يك معناي عامّ، طبقه‌بندي، كدگذاري و تجزيه و تحليل با هم ما را به تنقيح مي‌رساند.</w:t>
      </w:r>
    </w:p>
    <w:p w14:paraId="4BF43B5C" w14:textId="623D2678" w:rsidR="007013BC" w:rsidRDefault="007013BC" w:rsidP="007013BC">
      <w:pPr>
        <w:pStyle w:val="Heading3"/>
        <w:rPr>
          <w:rtl/>
        </w:rPr>
      </w:pPr>
      <w:bookmarkStart w:id="77" w:name="_Toc144002059"/>
      <w:bookmarkStart w:id="78" w:name="_Toc144083835"/>
      <w:bookmarkStart w:id="79" w:name="_Toc144085927"/>
      <w:bookmarkStart w:id="80" w:name="_Toc144086154"/>
      <w:r>
        <w:rPr>
          <w:rFonts w:hint="cs"/>
          <w:rtl/>
        </w:rPr>
        <w:t>قانون جامع</w:t>
      </w:r>
      <w:bookmarkEnd w:id="77"/>
      <w:bookmarkEnd w:id="78"/>
      <w:bookmarkEnd w:id="79"/>
      <w:bookmarkEnd w:id="80"/>
    </w:p>
    <w:p w14:paraId="5EF9B497" w14:textId="2690B79B" w:rsidR="007013BC" w:rsidRPr="007013BC" w:rsidRDefault="007013BC" w:rsidP="007013BC">
      <w:pPr>
        <w:rPr>
          <w:rtl/>
        </w:rPr>
      </w:pPr>
      <w:r>
        <w:rPr>
          <w:rFonts w:hint="cs"/>
          <w:rtl/>
        </w:rPr>
        <w:t>پس از تنقيح، براي قوانين «پلن» داده مي‌شود. محصول اين پلن‌ها به قانون جامع دست پيدا مي‌كنيم. هدف اصلي رسيدن به اين قانون جامع است.</w:t>
      </w:r>
    </w:p>
    <w:p w14:paraId="62559BE8" w14:textId="6DCFB6D8" w:rsidR="00040AA7" w:rsidRDefault="00D96889" w:rsidP="00D96889">
      <w:pPr>
        <w:pStyle w:val="Heading2"/>
        <w:rPr>
          <w:rtl/>
        </w:rPr>
      </w:pPr>
      <w:bookmarkStart w:id="81" w:name="_Toc144002060"/>
      <w:bookmarkStart w:id="82" w:name="_Toc144083836"/>
      <w:bookmarkStart w:id="83" w:name="_Toc144085928"/>
      <w:bookmarkStart w:id="84" w:name="_Toc144086155"/>
      <w:r>
        <w:rPr>
          <w:rFonts w:hint="cs"/>
          <w:rtl/>
        </w:rPr>
        <w:t xml:space="preserve">سامانه </w:t>
      </w:r>
      <w:r w:rsidR="007D3B79">
        <w:rPr>
          <w:rFonts w:hint="cs"/>
          <w:rtl/>
        </w:rPr>
        <w:t>ابلاغ قانون</w:t>
      </w:r>
      <w:bookmarkEnd w:id="81"/>
      <w:bookmarkEnd w:id="82"/>
      <w:bookmarkEnd w:id="83"/>
      <w:bookmarkEnd w:id="84"/>
    </w:p>
    <w:p w14:paraId="628BB63D" w14:textId="578F14AA" w:rsidR="007D3B79" w:rsidRDefault="00664556" w:rsidP="007D3B79">
      <w:pPr>
        <w:rPr>
          <w:rtl/>
        </w:rPr>
      </w:pPr>
      <w:r w:rsidRPr="00306794">
        <w:rPr>
          <w:noProof/>
          <w:rtl/>
        </w:rPr>
        <w:drawing>
          <wp:anchor distT="0" distB="0" distL="114300" distR="114300" simplePos="0" relativeHeight="251670528" behindDoc="0" locked="0" layoutInCell="1" allowOverlap="1" wp14:anchorId="6E06F424" wp14:editId="6DAAB7E5">
            <wp:simplePos x="0" y="0"/>
            <wp:positionH relativeFrom="column">
              <wp:posOffset>37465</wp:posOffset>
            </wp:positionH>
            <wp:positionV relativeFrom="paragraph">
              <wp:posOffset>345440</wp:posOffset>
            </wp:positionV>
            <wp:extent cx="2380615" cy="3547745"/>
            <wp:effectExtent l="0" t="0" r="63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6294421911.jpg"/>
                    <pic:cNvPicPr/>
                  </pic:nvPicPr>
                  <pic:blipFill rotWithShape="1">
                    <a:blip r:embed="rId19" cstate="print">
                      <a:extLst>
                        <a:ext uri="{BEBA8EAE-BF5A-486C-A8C5-ECC9F3942E4B}">
                          <a14:imgProps xmlns:a14="http://schemas.microsoft.com/office/drawing/2010/main">
                            <a14:imgLayer r:embed="rId1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4803" t="32775" r="68175" b="13464"/>
                    <a:stretch/>
                  </pic:blipFill>
                  <pic:spPr bwMode="auto">
                    <a:xfrm>
                      <a:off x="0" y="0"/>
                      <a:ext cx="2380615" cy="354774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3B79">
        <w:rPr>
          <w:rFonts w:hint="cs"/>
          <w:rtl/>
        </w:rPr>
        <w:t xml:space="preserve">توليد </w:t>
      </w:r>
      <w:r w:rsidR="007D3B79">
        <w:rPr>
          <w:rFonts w:hint="eastAsia"/>
          <w:rtl/>
        </w:rPr>
        <w:t>«</w:t>
      </w:r>
      <w:r w:rsidR="007D3B79">
        <w:rPr>
          <w:rFonts w:hint="cs"/>
          <w:rtl/>
        </w:rPr>
        <w:t>قانون</w:t>
      </w:r>
      <w:r w:rsidR="007D3B79">
        <w:rPr>
          <w:rtl/>
        </w:rPr>
        <w:t xml:space="preserve"> </w:t>
      </w:r>
      <w:r w:rsidR="007D3B79">
        <w:rPr>
          <w:rFonts w:hint="cs"/>
          <w:rtl/>
        </w:rPr>
        <w:t>خوب</w:t>
      </w:r>
      <w:r w:rsidR="007D3B79">
        <w:rPr>
          <w:rFonts w:hint="eastAsia"/>
          <w:rtl/>
        </w:rPr>
        <w:t>»</w:t>
      </w:r>
      <w:r w:rsidR="007D3B79">
        <w:rPr>
          <w:rFonts w:hint="cs"/>
          <w:rtl/>
        </w:rPr>
        <w:t xml:space="preserve"> خيلي خوب است، ولي هدف نيست. هدف اجراي قانون درست قانون است. بنابراين به سامانه‌اي نياز داريم كه دو كار ديگر را به انجام رساند:</w:t>
      </w:r>
    </w:p>
    <w:p w14:paraId="73B7DEA6" w14:textId="59BB4393" w:rsidR="006263B6" w:rsidRDefault="006263B6" w:rsidP="006263B6">
      <w:pPr>
        <w:pStyle w:val="ListParagraph"/>
        <w:numPr>
          <w:ilvl w:val="0"/>
          <w:numId w:val="6"/>
        </w:numPr>
      </w:pPr>
      <w:r>
        <w:rPr>
          <w:rFonts w:hint="cs"/>
          <w:rtl/>
        </w:rPr>
        <w:t>تضمين اجراي عادلانه قوانين</w:t>
      </w:r>
    </w:p>
    <w:p w14:paraId="6FE58D66" w14:textId="7D12DC01" w:rsidR="006263B6" w:rsidRDefault="006263B6" w:rsidP="006263B6">
      <w:pPr>
        <w:pStyle w:val="ListParagraph"/>
        <w:numPr>
          <w:ilvl w:val="0"/>
          <w:numId w:val="6"/>
        </w:numPr>
        <w:rPr>
          <w:rtl/>
        </w:rPr>
      </w:pPr>
      <w:r>
        <w:rPr>
          <w:rFonts w:hint="cs"/>
          <w:rtl/>
        </w:rPr>
        <w:t>ابلاغ هوشمند قوانين</w:t>
      </w:r>
    </w:p>
    <w:p w14:paraId="71E88D28" w14:textId="5C89BBCE" w:rsidR="007D3B79" w:rsidRDefault="007D3B79" w:rsidP="00784639">
      <w:pPr>
        <w:pStyle w:val="Heading3"/>
        <w:rPr>
          <w:rtl/>
        </w:rPr>
      </w:pPr>
      <w:bookmarkStart w:id="85" w:name="_Toc144002061"/>
      <w:bookmarkStart w:id="86" w:name="_Toc144083837"/>
      <w:bookmarkStart w:id="87" w:name="_Toc144085929"/>
      <w:bookmarkStart w:id="88" w:name="_Toc144086156"/>
      <w:r>
        <w:rPr>
          <w:rFonts w:hint="cs"/>
          <w:rtl/>
        </w:rPr>
        <w:t>تضمين اجراي عادلانه قوانين</w:t>
      </w:r>
      <w:bookmarkEnd w:id="85"/>
      <w:bookmarkEnd w:id="86"/>
      <w:bookmarkEnd w:id="87"/>
      <w:bookmarkEnd w:id="88"/>
    </w:p>
    <w:p w14:paraId="4B398983" w14:textId="744FB0D1" w:rsidR="00784639" w:rsidRDefault="00784639" w:rsidP="00784639">
      <w:pPr>
        <w:rPr>
          <w:rtl/>
        </w:rPr>
      </w:pPr>
      <w:r>
        <w:rPr>
          <w:rFonts w:hint="cs"/>
          <w:rtl/>
        </w:rPr>
        <w:t>اجراي عادلانه قوانين از مطالبات مقام معظّم رهبري است كه تا كنون مورد توجه جدّي قرار نگرفته است.</w:t>
      </w:r>
      <w:r w:rsidR="00DA4D46">
        <w:rPr>
          <w:rFonts w:hint="cs"/>
          <w:rtl/>
        </w:rPr>
        <w:t xml:space="preserve"> ايشان تأكيد كرده‌اند كه مجلس بايد نرم‌افزار اجراي عادلانه قوانين را فراهم كند. منظور از اين نرم‌افزار مي‌تواند زيرساخت‌هاي لازم براي اين هدف باشد. يكي از اين زيرساخت‌ها مي‌تواند دقيقاً نرم‌افزار همين سامانه باشد كه جلوي اجراي سليقه‌اي قوانين را مي‌گيرد.</w:t>
      </w:r>
    </w:p>
    <w:p w14:paraId="70E0F057" w14:textId="443FE435" w:rsidR="00495475" w:rsidRDefault="00495475" w:rsidP="00784639">
      <w:pPr>
        <w:rPr>
          <w:rtl/>
        </w:rPr>
      </w:pPr>
      <w:r>
        <w:rPr>
          <w:rFonts w:hint="cs"/>
          <w:rtl/>
        </w:rPr>
        <w:t>اگر نهادي اجرايي به تكليفي كه در قانون براي او تعيين شده است در مدّت قانوني عمل نكرد، مشخص شده و هشدار داده شده و اطلاع‌رساني مي‌گردد.</w:t>
      </w:r>
    </w:p>
    <w:p w14:paraId="6222A5FC" w14:textId="6D5790F5" w:rsidR="00ED3057" w:rsidRPr="00784639" w:rsidRDefault="00ED3057" w:rsidP="00784639">
      <w:r>
        <w:rPr>
          <w:rFonts w:hint="cs"/>
          <w:rtl/>
        </w:rPr>
        <w:t>در همين راستا لازم است معاونت قوانين</w:t>
      </w:r>
      <w:r w:rsidR="003F785B">
        <w:rPr>
          <w:rFonts w:hint="cs"/>
          <w:rtl/>
        </w:rPr>
        <w:t xml:space="preserve"> فعلي</w:t>
      </w:r>
      <w:r>
        <w:rPr>
          <w:rFonts w:hint="cs"/>
          <w:rtl/>
        </w:rPr>
        <w:t xml:space="preserve"> تبديل به «معاونت فناوري قوانين» شود. متخصصان برنامه‌نويس در اين معاونت مستقر شده و به جاي متن راكد مكتوب، متن‌هاي پويا و متحرّك</w:t>
      </w:r>
      <w:r w:rsidR="003F785B">
        <w:rPr>
          <w:rFonts w:hint="cs"/>
          <w:rtl/>
        </w:rPr>
        <w:t>ي از قانون را</w:t>
      </w:r>
      <w:r>
        <w:rPr>
          <w:rFonts w:hint="cs"/>
          <w:rtl/>
        </w:rPr>
        <w:t xml:space="preserve"> كه به صورت نرم‌افزاري ابلاغ مي‌شود توليد كنند.</w:t>
      </w:r>
    </w:p>
    <w:p w14:paraId="3577C4E3" w14:textId="39ED2FC0" w:rsidR="00784639" w:rsidRDefault="007D3B79" w:rsidP="00784639">
      <w:pPr>
        <w:pStyle w:val="Heading3"/>
        <w:rPr>
          <w:rtl/>
        </w:rPr>
      </w:pPr>
      <w:bookmarkStart w:id="89" w:name="_Toc144002062"/>
      <w:bookmarkStart w:id="90" w:name="_Toc144083838"/>
      <w:bookmarkStart w:id="91" w:name="_Toc144085930"/>
      <w:bookmarkStart w:id="92" w:name="_Toc144086157"/>
      <w:r>
        <w:rPr>
          <w:rFonts w:hint="cs"/>
          <w:rtl/>
        </w:rPr>
        <w:t>ابلاغ هوشمند قوانين</w:t>
      </w:r>
      <w:bookmarkEnd w:id="89"/>
      <w:bookmarkEnd w:id="90"/>
      <w:bookmarkEnd w:id="91"/>
      <w:bookmarkEnd w:id="92"/>
    </w:p>
    <w:p w14:paraId="14DA67AE" w14:textId="47196D02" w:rsidR="004564B9" w:rsidRDefault="004564B9" w:rsidP="004564B9">
      <w:pPr>
        <w:rPr>
          <w:rtl/>
        </w:rPr>
      </w:pPr>
      <w:r>
        <w:rPr>
          <w:rFonts w:hint="cs"/>
          <w:rtl/>
        </w:rPr>
        <w:t>مردم معمولاً به موقع از قوانين آگاه نمي‌شوند و فرصت استفاده از قوانين را از دست مي‌دهند. هر فردي متناسب با جايگاه اجتماعي خود، دانش، مهارت و شغلي كه دارد بايد قوانين مرتبط با خود را به دست آورد و از آخرين تغييرات آن آگاه شود. اين آگاهي از تمام حقوق شهروندي وظيفه اصلي اين سامانه است.</w:t>
      </w:r>
    </w:p>
    <w:p w14:paraId="2F793883" w14:textId="495DBADC" w:rsidR="00BA4BB8" w:rsidRDefault="00BA4BB8" w:rsidP="004564B9">
      <w:pPr>
        <w:rPr>
          <w:rtl/>
        </w:rPr>
      </w:pPr>
      <w:r>
        <w:rPr>
          <w:rFonts w:hint="cs"/>
          <w:rtl/>
        </w:rPr>
        <w:t xml:space="preserve">براي تحقق كامل اين هدف، مي‌توان ابزاري مانند كارت سوخت يا كارت ملّي توليد كرده و در اختيار هر فرد قرار داد كه نيازهاي آن فرد در آن مشخص شده باشد. اگر از اين كارت استفاده كرده و به سامانه ابلاغ قوانين </w:t>
      </w:r>
      <w:r w:rsidR="00784639">
        <w:rPr>
          <w:rFonts w:hint="cs"/>
          <w:rtl/>
        </w:rPr>
        <w:t>ورود كند</w:t>
      </w:r>
      <w:r>
        <w:rPr>
          <w:rFonts w:hint="cs"/>
          <w:rtl/>
        </w:rPr>
        <w:t>، به سرعت از تمامي نيازهاي قانوني خود آگاه شود.</w:t>
      </w:r>
    </w:p>
    <w:p w14:paraId="2BD66EB4" w14:textId="643C745F" w:rsidR="00664556" w:rsidRDefault="00664556" w:rsidP="00664556">
      <w:pPr>
        <w:pStyle w:val="Heading1"/>
        <w:rPr>
          <w:rtl/>
        </w:rPr>
      </w:pPr>
      <w:bookmarkStart w:id="93" w:name="_Toc144002063"/>
      <w:bookmarkStart w:id="94" w:name="_Toc144083839"/>
      <w:bookmarkStart w:id="95" w:name="_Toc144085931"/>
      <w:bookmarkStart w:id="96" w:name="_Toc144086158"/>
      <w:r>
        <w:rPr>
          <w:rFonts w:hint="cs"/>
          <w:rtl/>
        </w:rPr>
        <w:t>تنقيح قوانين</w:t>
      </w:r>
      <w:bookmarkEnd w:id="93"/>
      <w:bookmarkEnd w:id="94"/>
      <w:bookmarkEnd w:id="95"/>
      <w:bookmarkEnd w:id="96"/>
    </w:p>
    <w:p w14:paraId="7E494849" w14:textId="3E9DEA6C" w:rsidR="00664556" w:rsidRDefault="00A13CC7" w:rsidP="00664556">
      <w:pPr>
        <w:rPr>
          <w:rtl/>
        </w:rPr>
      </w:pPr>
      <w:r>
        <w:rPr>
          <w:rFonts w:hint="cs"/>
          <w:rtl/>
        </w:rPr>
        <w:t>پايه و اساس تنقيح رفع تعارض ميان قوانين است. زماني‌كه يك يا چند قانون موضوع يكساني داشته، ولي احكام متفاوتي را بيان كرده‌اند. اگر اين تعارض ميان قانون عادي و قانون اساسي باشد، قانون عادي محكوم به تبعيّت است.</w:t>
      </w:r>
    </w:p>
    <w:p w14:paraId="52C54B8B" w14:textId="798DD553" w:rsidR="00664556" w:rsidRDefault="00664556" w:rsidP="00664556">
      <w:pPr>
        <w:spacing w:line="240" w:lineRule="auto"/>
        <w:ind w:firstLine="0"/>
        <w:jc w:val="center"/>
        <w:rPr>
          <w:rtl/>
        </w:rPr>
      </w:pPr>
      <w:r>
        <w:rPr>
          <w:noProof/>
          <w:rtl/>
          <w:lang w:val="fa-IR"/>
        </w:rPr>
        <w:drawing>
          <wp:inline distT="0" distB="0" distL="0" distR="0" wp14:anchorId="513DBF4C" wp14:editId="5546F60A">
            <wp:extent cx="6299200" cy="3916392"/>
            <wp:effectExtent l="0" t="0" r="635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6294421911.jpg"/>
                    <pic:cNvPicPr/>
                  </pic:nvPicPr>
                  <pic:blipFill rotWithShape="1">
                    <a:blip r:embed="rId20">
                      <a:extLst>
                        <a:ext uri="{BEBA8EAE-BF5A-486C-A8C5-ECC9F3942E4B}">
                          <a14:imgProps xmlns:a14="http://schemas.microsoft.com/office/drawing/2010/main">
                            <a14:imgLayer r:embed="rId2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977" t="10972" r="1771" b="9156"/>
                    <a:stretch/>
                  </pic:blipFill>
                  <pic:spPr bwMode="auto">
                    <a:xfrm>
                      <a:off x="0" y="0"/>
                      <a:ext cx="6300000" cy="3916889"/>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p w14:paraId="1951CDD8" w14:textId="2BF0F974" w:rsidR="00A13CC7" w:rsidRDefault="00A13CC7" w:rsidP="00A13CC7">
      <w:pPr>
        <w:pStyle w:val="Heading2"/>
        <w:rPr>
          <w:rtl/>
        </w:rPr>
      </w:pPr>
      <w:bookmarkStart w:id="97" w:name="_Toc144083840"/>
      <w:bookmarkStart w:id="98" w:name="_Toc144085932"/>
      <w:bookmarkStart w:id="99" w:name="_Toc144086159"/>
      <w:r>
        <w:rPr>
          <w:rFonts w:hint="cs"/>
          <w:rtl/>
        </w:rPr>
        <w:t>رتبه‌بندي قوانين</w:t>
      </w:r>
      <w:bookmarkEnd w:id="97"/>
      <w:bookmarkEnd w:id="98"/>
      <w:bookmarkEnd w:id="99"/>
    </w:p>
    <w:p w14:paraId="38D1F513" w14:textId="74A57C82" w:rsidR="00664556" w:rsidRDefault="00A13CC7" w:rsidP="00664556">
      <w:pPr>
        <w:rPr>
          <w:rtl/>
        </w:rPr>
      </w:pPr>
      <w:r>
        <w:rPr>
          <w:rFonts w:hint="cs"/>
          <w:rtl/>
        </w:rPr>
        <w:t>قانون به دو بخش كلّي قانون اساسي و قانون عادي تقسيم مي‌شود. قانون عادي نيز بر حسب دوام به سه قسم است:</w:t>
      </w:r>
    </w:p>
    <w:p w14:paraId="0BA66C29" w14:textId="7F4C111C" w:rsidR="00A13CC7" w:rsidRDefault="00A13CC7" w:rsidP="00A13CC7">
      <w:pPr>
        <w:pStyle w:val="ListParagraph"/>
        <w:numPr>
          <w:ilvl w:val="0"/>
          <w:numId w:val="7"/>
        </w:numPr>
      </w:pPr>
      <w:r>
        <w:rPr>
          <w:rFonts w:hint="cs"/>
          <w:rtl/>
        </w:rPr>
        <w:t>قانون موقّت؛ مانند: قانون بودجه و برنامه</w:t>
      </w:r>
    </w:p>
    <w:p w14:paraId="24395AE1" w14:textId="026127B9" w:rsidR="00A13CC7" w:rsidRDefault="00A13CC7" w:rsidP="00A13CC7">
      <w:pPr>
        <w:pStyle w:val="ListParagraph"/>
        <w:numPr>
          <w:ilvl w:val="0"/>
          <w:numId w:val="7"/>
        </w:numPr>
      </w:pPr>
      <w:r>
        <w:rPr>
          <w:rFonts w:hint="cs"/>
          <w:rtl/>
        </w:rPr>
        <w:t xml:space="preserve">قانون آزمايشي؛ قوانين آزمايشي موقّت نيستند. اين قوانين براي دائمي شدن تصويب شده‌اند، ولي به دليل مشخص نبودن آثار آن قانون و عدم اطمينان از آثار مثبت آن، به صورت آزمايشي تصويب مي‌شود. در </w:t>
      </w:r>
      <w:r w:rsidR="000A5C88">
        <w:rPr>
          <w:rFonts w:hint="cs"/>
          <w:rtl/>
        </w:rPr>
        <w:t xml:space="preserve">روند </w:t>
      </w:r>
      <w:r>
        <w:rPr>
          <w:rFonts w:hint="cs"/>
          <w:rtl/>
        </w:rPr>
        <w:t>تنقيح</w:t>
      </w:r>
      <w:r w:rsidR="000A5C88">
        <w:rPr>
          <w:rFonts w:hint="cs"/>
          <w:rtl/>
        </w:rPr>
        <w:t>،</w:t>
      </w:r>
      <w:r>
        <w:rPr>
          <w:rFonts w:hint="cs"/>
          <w:rtl/>
        </w:rPr>
        <w:t xml:space="preserve"> اين قانون با قانون دائمي تفاوتي ندارد.</w:t>
      </w:r>
    </w:p>
    <w:p w14:paraId="59017F46" w14:textId="643D9C40" w:rsidR="00A13CC7" w:rsidRDefault="00A13CC7" w:rsidP="00A13CC7">
      <w:pPr>
        <w:pStyle w:val="ListParagraph"/>
        <w:numPr>
          <w:ilvl w:val="0"/>
          <w:numId w:val="7"/>
        </w:numPr>
      </w:pPr>
      <w:r>
        <w:rPr>
          <w:rFonts w:hint="cs"/>
          <w:rtl/>
        </w:rPr>
        <w:t>قانون دائم؛ اصل بر اين است كه تمامي قوانين به صورت پيش‌فرض دائمي هستند.</w:t>
      </w:r>
    </w:p>
    <w:p w14:paraId="2AA03E5C" w14:textId="7DE519D5" w:rsidR="000A5C88" w:rsidRDefault="00E83A13" w:rsidP="000A5C88">
      <w:pPr>
        <w:rPr>
          <w:rtl/>
        </w:rPr>
      </w:pPr>
      <w:r>
        <w:rPr>
          <w:noProof/>
          <w:rtl/>
          <w:lang w:val="fa-IR"/>
        </w:rPr>
        <w:drawing>
          <wp:anchor distT="0" distB="0" distL="114300" distR="114300" simplePos="0" relativeHeight="251671552" behindDoc="0" locked="0" layoutInCell="1" allowOverlap="1" wp14:anchorId="15ABCF26" wp14:editId="2591556D">
            <wp:simplePos x="0" y="0"/>
            <wp:positionH relativeFrom="column">
              <wp:posOffset>-14293</wp:posOffset>
            </wp:positionH>
            <wp:positionV relativeFrom="paragraph">
              <wp:posOffset>2540</wp:posOffset>
            </wp:positionV>
            <wp:extent cx="3631565" cy="2327910"/>
            <wp:effectExtent l="0" t="0" r="698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6294421911.jpg"/>
                    <pic:cNvPicPr/>
                  </pic:nvPicPr>
                  <pic:blipFill rotWithShape="1">
                    <a:blip r:embed="rId20">
                      <a:extLst>
                        <a:ext uri="{BEBA8EAE-BF5A-486C-A8C5-ECC9F3942E4B}">
                          <a14:imgProps xmlns:a14="http://schemas.microsoft.com/office/drawing/2010/main">
                            <a14:imgLayer r:embed="rId2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3185" t="29799" r="34884" b="34305"/>
                    <a:stretch/>
                  </pic:blipFill>
                  <pic:spPr bwMode="auto">
                    <a:xfrm>
                      <a:off x="0" y="0"/>
                      <a:ext cx="3631565" cy="232791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079C">
        <w:rPr>
          <w:rFonts w:hint="cs"/>
          <w:rtl/>
        </w:rPr>
        <w:t>تفاوت قانون آزمايشي با قانون موقّت در اين است كه از پيش زماني براي انقضاي آن تعيين نشده است و تا زماني‌كه نقض آن اعلام نشود رسميّت دارد. قانون آزمايشي قابليت تمديد دارد.</w:t>
      </w:r>
    </w:p>
    <w:p w14:paraId="1F734DE6" w14:textId="53D3B5BA" w:rsidR="00EC079C" w:rsidRDefault="00EC079C" w:rsidP="00EC079C">
      <w:pPr>
        <w:pStyle w:val="Heading2"/>
        <w:rPr>
          <w:rtl/>
        </w:rPr>
      </w:pPr>
      <w:bookmarkStart w:id="100" w:name="_Toc144083841"/>
      <w:bookmarkStart w:id="101" w:name="_Toc144085933"/>
      <w:bookmarkStart w:id="102" w:name="_Toc144086160"/>
      <w:r>
        <w:rPr>
          <w:rFonts w:hint="cs"/>
          <w:rtl/>
        </w:rPr>
        <w:t>تفاوت تنقيح با تقنين</w:t>
      </w:r>
      <w:bookmarkEnd w:id="100"/>
      <w:bookmarkEnd w:id="101"/>
      <w:bookmarkEnd w:id="102"/>
    </w:p>
    <w:p w14:paraId="6B862D9A" w14:textId="03B82E95" w:rsidR="00EC079C" w:rsidRDefault="00EC079C" w:rsidP="00EC079C">
      <w:pPr>
        <w:rPr>
          <w:rtl/>
        </w:rPr>
      </w:pPr>
      <w:r>
        <w:rPr>
          <w:rFonts w:hint="cs"/>
          <w:rtl/>
        </w:rPr>
        <w:t>اصل كلّي اين است كه تنقيح يك نوع تقنين نيست، ولي اثر تقنيني دارد. اگر چه مواردي پيش آمده كه محصول تنقيح قوانين به صحن علني رفته و به تقنين منجر گشته است، ولي به طور كلّي قرار بر اين نيست تا محصول هر تنقيحي به مسير تقنين برگردد.</w:t>
      </w:r>
    </w:p>
    <w:p w14:paraId="3226F6CD" w14:textId="15E87B28" w:rsidR="0032458F" w:rsidRDefault="0032458F" w:rsidP="0032458F">
      <w:pPr>
        <w:pStyle w:val="Heading2"/>
        <w:rPr>
          <w:rtl/>
        </w:rPr>
      </w:pPr>
      <w:bookmarkStart w:id="103" w:name="_Toc144083842"/>
      <w:bookmarkStart w:id="104" w:name="_Toc144085934"/>
      <w:bookmarkStart w:id="105" w:name="_Toc144086161"/>
      <w:r>
        <w:rPr>
          <w:rFonts w:hint="cs"/>
          <w:rtl/>
        </w:rPr>
        <w:t>قانون تنقيحي</w:t>
      </w:r>
      <w:bookmarkEnd w:id="103"/>
      <w:bookmarkEnd w:id="104"/>
      <w:bookmarkEnd w:id="105"/>
    </w:p>
    <w:p w14:paraId="5C5C66A3" w14:textId="1EA1FE9E" w:rsidR="005B33A5" w:rsidRDefault="005B33A5" w:rsidP="00EC079C">
      <w:pPr>
        <w:rPr>
          <w:rtl/>
        </w:rPr>
      </w:pPr>
      <w:r>
        <w:rPr>
          <w:rFonts w:hint="cs"/>
          <w:rtl/>
        </w:rPr>
        <w:t xml:space="preserve">تنها در صورتي‌كه محصول كارشناسي تنقيحي به طرح تنقيحي منتهي شود، به مجلس رفته و به قانون تنقيحي تبديل مي‌شود. براي اين منظور شيوه‌نامه‌اي نيز تدوين شده است. اين شيوه‌نامه نگاه فناورانه نداشته و با رويكردي حقوقي نگاشته شده است. </w:t>
      </w:r>
    </w:p>
    <w:p w14:paraId="696F2711" w14:textId="33EFF187" w:rsidR="00E83A13" w:rsidRDefault="00E83A13" w:rsidP="00E83A13">
      <w:pPr>
        <w:spacing w:line="240" w:lineRule="auto"/>
        <w:ind w:firstLine="0"/>
        <w:jc w:val="center"/>
        <w:rPr>
          <w:rtl/>
        </w:rPr>
      </w:pPr>
      <w:r>
        <w:rPr>
          <w:noProof/>
          <w:rtl/>
          <w:lang w:val="fa-IR"/>
        </w:rPr>
        <w:drawing>
          <wp:inline distT="0" distB="0" distL="0" distR="0" wp14:anchorId="17118569" wp14:editId="145BB5FE">
            <wp:extent cx="6300000" cy="1498604"/>
            <wp:effectExtent l="0" t="0" r="571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6294421911.jpg"/>
                    <pic:cNvPicPr/>
                  </pic:nvPicPr>
                  <pic:blipFill rotWithShape="1">
                    <a:blip r:embed="rId20">
                      <a:extLst>
                        <a:ext uri="{BEBA8EAE-BF5A-486C-A8C5-ECC9F3942E4B}">
                          <a14:imgProps xmlns:a14="http://schemas.microsoft.com/office/drawing/2010/main">
                            <a14:imgLayer r:embed="rId2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8344" t="65846" r="31795" b="15132"/>
                    <a:stretch/>
                  </pic:blipFill>
                  <pic:spPr bwMode="auto">
                    <a:xfrm>
                      <a:off x="0" y="0"/>
                      <a:ext cx="6300000" cy="1498604"/>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p w14:paraId="61D5EF77" w14:textId="3EE8FB98" w:rsidR="00987598" w:rsidRDefault="00987598" w:rsidP="00987598">
      <w:pPr>
        <w:pStyle w:val="Heading2"/>
        <w:rPr>
          <w:rtl/>
        </w:rPr>
      </w:pPr>
      <w:bookmarkStart w:id="106" w:name="_Toc144083843"/>
      <w:bookmarkStart w:id="107" w:name="_Toc144085935"/>
      <w:bookmarkStart w:id="108" w:name="_Toc144086162"/>
      <w:r>
        <w:rPr>
          <w:rFonts w:hint="cs"/>
          <w:rtl/>
        </w:rPr>
        <w:t>نسخ صريح و نسخ ضمني</w:t>
      </w:r>
      <w:bookmarkEnd w:id="106"/>
      <w:bookmarkEnd w:id="107"/>
      <w:bookmarkEnd w:id="108"/>
    </w:p>
    <w:p w14:paraId="10B17403" w14:textId="58FB857B" w:rsidR="005B33A5" w:rsidRDefault="00D9246A" w:rsidP="00EC079C">
      <w:pPr>
        <w:rPr>
          <w:rtl/>
        </w:rPr>
      </w:pPr>
      <w:r>
        <w:rPr>
          <w:noProof/>
          <w:rtl/>
          <w:lang w:val="fa-IR"/>
        </w:rPr>
        <w:drawing>
          <wp:anchor distT="0" distB="0" distL="114300" distR="114300" simplePos="0" relativeHeight="251673600" behindDoc="0" locked="0" layoutInCell="1" allowOverlap="1" wp14:anchorId="25A4E896" wp14:editId="1EDF2FB3">
            <wp:simplePos x="0" y="0"/>
            <wp:positionH relativeFrom="column">
              <wp:posOffset>37465</wp:posOffset>
            </wp:positionH>
            <wp:positionV relativeFrom="paragraph">
              <wp:posOffset>781050</wp:posOffset>
            </wp:positionV>
            <wp:extent cx="2708275" cy="253555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6294421911.jpg"/>
                    <pic:cNvPicPr/>
                  </pic:nvPicPr>
                  <pic:blipFill rotWithShape="1">
                    <a:blip r:embed="rId20">
                      <a:extLst>
                        <a:ext uri="{BEBA8EAE-BF5A-486C-A8C5-ECC9F3942E4B}">
                          <a14:imgProps xmlns:a14="http://schemas.microsoft.com/office/drawing/2010/main">
                            <a14:imgLayer r:embed="rId2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870" t="10511" r="66855" b="50381"/>
                    <a:stretch/>
                  </pic:blipFill>
                  <pic:spPr bwMode="auto">
                    <a:xfrm>
                      <a:off x="0" y="0"/>
                      <a:ext cx="2708275" cy="253555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33A5">
        <w:rPr>
          <w:rFonts w:hint="cs"/>
          <w:rtl/>
        </w:rPr>
        <w:t>بعضي از قوانين به صورت صريح نقض قوانيني ديگري را اعلام كرده‌اند. به اين موارد نسخ صريح گفته مي‌شود كه كار تنقيح را آسان مي‌كند.</w:t>
      </w:r>
      <w:r w:rsidR="006B0665">
        <w:rPr>
          <w:rFonts w:hint="cs"/>
          <w:rtl/>
        </w:rPr>
        <w:t xml:space="preserve"> بيشترين كاركرد عمليات تنقيح بررسي مواردي است كه نسخ به صورت ضمني انجام پذيرفته است و اشاره صريحي به قوانين نسخ شده در قانون جديد نشده است.</w:t>
      </w:r>
    </w:p>
    <w:p w14:paraId="059D5CE0" w14:textId="00DA7D09" w:rsidR="00542239" w:rsidRDefault="00542239" w:rsidP="00EC079C">
      <w:pPr>
        <w:rPr>
          <w:rtl/>
        </w:rPr>
      </w:pPr>
      <w:r>
        <w:rPr>
          <w:rFonts w:hint="cs"/>
          <w:rtl/>
        </w:rPr>
        <w:t>در صورت توليد سامانه پيشرفته تنقيح، تمامي نسخ‌هاي صريح و تمامي قوانين موقّت به صورت خودكار نقض خواهد شد و نيازي به بررسي و اعلام رسمي نخواهد داشت.</w:t>
      </w:r>
    </w:p>
    <w:p w14:paraId="07343C60" w14:textId="42271632" w:rsidR="00EE1ECC" w:rsidRDefault="00EE1ECC" w:rsidP="00EE1ECC">
      <w:pPr>
        <w:pStyle w:val="Heading2"/>
        <w:rPr>
          <w:rtl/>
        </w:rPr>
      </w:pPr>
      <w:bookmarkStart w:id="109" w:name="_Toc144083844"/>
      <w:bookmarkStart w:id="110" w:name="_Toc144085936"/>
      <w:bookmarkStart w:id="111" w:name="_Toc144086163"/>
      <w:r>
        <w:rPr>
          <w:rFonts w:hint="cs"/>
          <w:rtl/>
        </w:rPr>
        <w:t>كدهاي قوانين</w:t>
      </w:r>
      <w:bookmarkEnd w:id="109"/>
      <w:bookmarkEnd w:id="110"/>
      <w:bookmarkEnd w:id="111"/>
    </w:p>
    <w:p w14:paraId="708B4105" w14:textId="1D617AC9" w:rsidR="00EE1ECC" w:rsidRDefault="00EE1ECC" w:rsidP="00EE1ECC">
      <w:pPr>
        <w:rPr>
          <w:rtl/>
        </w:rPr>
      </w:pPr>
      <w:r>
        <w:rPr>
          <w:rFonts w:hint="cs"/>
          <w:rtl/>
        </w:rPr>
        <w:t>در مسير تنقيح قوانين 40 و در بعضي موارد 60 كد تقنيني</w:t>
      </w:r>
      <w:r w:rsidR="00E83A13">
        <w:rPr>
          <w:rFonts w:hint="cs"/>
          <w:rtl/>
        </w:rPr>
        <w:t xml:space="preserve"> يا همان «عنوان كلّي»</w:t>
      </w:r>
      <w:r>
        <w:rPr>
          <w:rFonts w:hint="cs"/>
          <w:rtl/>
        </w:rPr>
        <w:t xml:space="preserve"> تعيين شده است كه روشي براي طبقه‌بندي و تعيين موضوعات قوانين است. اين كدها مشخص مي‌كند چه قوانيني با هم ارتباط دارند و بايد در مسير تنقيح مورد بررسي و اثرسنجي قرار بگيرند.</w:t>
      </w:r>
    </w:p>
    <w:p w14:paraId="3FB03C9F" w14:textId="4093B2E2" w:rsidR="00E83A13" w:rsidRDefault="00E83A13" w:rsidP="00E83A13">
      <w:pPr>
        <w:pStyle w:val="Heading2"/>
        <w:rPr>
          <w:rtl/>
        </w:rPr>
      </w:pPr>
      <w:bookmarkStart w:id="112" w:name="_Toc144083845"/>
      <w:bookmarkStart w:id="113" w:name="_Toc144085937"/>
      <w:bookmarkStart w:id="114" w:name="_Toc144086164"/>
      <w:r>
        <w:rPr>
          <w:rFonts w:hint="cs"/>
          <w:rtl/>
        </w:rPr>
        <w:t>اركان تنقيح</w:t>
      </w:r>
      <w:bookmarkEnd w:id="112"/>
      <w:bookmarkEnd w:id="113"/>
      <w:bookmarkEnd w:id="114"/>
    </w:p>
    <w:p w14:paraId="7D426622" w14:textId="1FB3AF87" w:rsidR="00E83A13" w:rsidRDefault="00E83A13" w:rsidP="00E83A13">
      <w:pPr>
        <w:rPr>
          <w:rtl/>
        </w:rPr>
      </w:pPr>
      <w:r>
        <w:rPr>
          <w:rFonts w:hint="cs"/>
          <w:rtl/>
        </w:rPr>
        <w:t>شناخت تعارض، عناصري كه باعث تعارض مي‌شوند و نحوه رفع تعارض سه اصل كلّي در تنقيح قوانين است. اين‌ها تكنيك‌هايي را شكل مي‌دهد كه توسط كارشناسان تنقيح به كار گرفته مي‌شود.</w:t>
      </w:r>
    </w:p>
    <w:p w14:paraId="2D268252" w14:textId="4640858C" w:rsidR="004A1126" w:rsidRDefault="00E83A13" w:rsidP="00E83A13">
      <w:pPr>
        <w:rPr>
          <w:rtl/>
        </w:rPr>
      </w:pPr>
      <w:r>
        <w:rPr>
          <w:rFonts w:hint="cs"/>
          <w:rtl/>
        </w:rPr>
        <w:t>براي دستيابي به الگوهاي هوش مصنوعي براي تنقيح قوانين، ابتدا بايد روندي كه هوش طبيعي عمليات تنقيح را به انجام رسانده و يا مي‌رساند بررسي شود و تبديل به منطق تنقيح شود.</w:t>
      </w:r>
      <w:r w:rsidR="004A1126">
        <w:rPr>
          <w:rFonts w:hint="cs"/>
          <w:rtl/>
        </w:rPr>
        <w:t xml:space="preserve"> </w:t>
      </w:r>
    </w:p>
    <w:p w14:paraId="0AE5DB3D" w14:textId="5EDEBA9B" w:rsidR="004A1126" w:rsidRDefault="004A1126" w:rsidP="004A1126">
      <w:pPr>
        <w:pStyle w:val="Heading2"/>
        <w:rPr>
          <w:rtl/>
        </w:rPr>
      </w:pPr>
      <w:bookmarkStart w:id="115" w:name="_Toc144083846"/>
      <w:bookmarkStart w:id="116" w:name="_Toc144085938"/>
      <w:bookmarkStart w:id="117" w:name="_Toc144086165"/>
      <w:r>
        <w:rPr>
          <w:rFonts w:hint="cs"/>
          <w:rtl/>
        </w:rPr>
        <w:t>تنقيح ايجابي</w:t>
      </w:r>
      <w:bookmarkEnd w:id="115"/>
      <w:bookmarkEnd w:id="116"/>
      <w:bookmarkEnd w:id="117"/>
    </w:p>
    <w:p w14:paraId="324C3E59" w14:textId="3021A676" w:rsidR="00E83A13" w:rsidRDefault="004A1126" w:rsidP="00E83A13">
      <w:pPr>
        <w:rPr>
          <w:rtl/>
        </w:rPr>
      </w:pPr>
      <w:r>
        <w:rPr>
          <w:rFonts w:hint="cs"/>
          <w:rtl/>
        </w:rPr>
        <w:t>فعاليت‌هايي كه تا كنون در شوراي راهبردي به انجام رسيده بيشتر در بخش سلبي تنقيح متمركز بوده است. به اين معنا كه قوانين پايان‌يافته و نسخ شده را اعلام كرده است. اما در بخش ايجابي، بايستي قوانين «معتبر» در هر موضوع شناسايي و اعلام شود. زيرا كاربر قوانين و مصرف‌كننده اصلي به آن‌چه معتبر است نياز دارد.</w:t>
      </w:r>
    </w:p>
    <w:p w14:paraId="6A49D7ED" w14:textId="4B7F4122" w:rsidR="004A1126" w:rsidRDefault="004A1126" w:rsidP="004A1126">
      <w:pPr>
        <w:pStyle w:val="Heading2"/>
        <w:rPr>
          <w:rtl/>
        </w:rPr>
      </w:pPr>
      <w:bookmarkStart w:id="118" w:name="_Toc144083847"/>
      <w:bookmarkStart w:id="119" w:name="_Toc144085939"/>
      <w:bookmarkStart w:id="120" w:name="_Toc144086166"/>
      <w:r>
        <w:rPr>
          <w:rFonts w:hint="cs"/>
          <w:rtl/>
        </w:rPr>
        <w:t>قانون جامع</w:t>
      </w:r>
      <w:bookmarkEnd w:id="118"/>
      <w:bookmarkEnd w:id="119"/>
      <w:bookmarkEnd w:id="120"/>
    </w:p>
    <w:p w14:paraId="71BDE140" w14:textId="23A7DC62" w:rsidR="004A1126" w:rsidRDefault="004A1126" w:rsidP="00E83A13">
      <w:pPr>
        <w:rPr>
          <w:rtl/>
        </w:rPr>
      </w:pPr>
      <w:r>
        <w:rPr>
          <w:rFonts w:hint="cs"/>
          <w:rtl/>
        </w:rPr>
        <w:t>از ميان 12500 عدد قانون و 250 هزار حكم قانوني - بعضي معتقدند يك ميليون - لازم است احكام هر موضوع متمايز از موضوعات ديگر به صورت يكجا و يكپارچه اعلام شود. به اين ترتيب ما به قانون جامع دست پيدا مي‌كنيم. رسيدن به قانون جامع در هر مسأله محصول تنقيح ايجابي است و از تنقيح سلبي به دست نمي‌آيد.</w:t>
      </w:r>
    </w:p>
    <w:p w14:paraId="6ED4A51A" w14:textId="0B500C88" w:rsidR="00D9246A" w:rsidRDefault="00D9246A" w:rsidP="00D9246A">
      <w:pPr>
        <w:pStyle w:val="Heading2"/>
        <w:rPr>
          <w:rtl/>
        </w:rPr>
      </w:pPr>
      <w:bookmarkStart w:id="121" w:name="_Toc144083848"/>
      <w:bookmarkStart w:id="122" w:name="_Toc144085940"/>
      <w:bookmarkStart w:id="123" w:name="_Toc144086167"/>
      <w:r>
        <w:rPr>
          <w:rFonts w:hint="cs"/>
          <w:rtl/>
        </w:rPr>
        <w:t>واحد تنقيح</w:t>
      </w:r>
      <w:bookmarkEnd w:id="121"/>
      <w:bookmarkEnd w:id="122"/>
      <w:bookmarkEnd w:id="123"/>
    </w:p>
    <w:p w14:paraId="180BDB69" w14:textId="6D9D2D0F" w:rsidR="00D9246A" w:rsidRDefault="00D9246A" w:rsidP="00D9246A">
      <w:pPr>
        <w:rPr>
          <w:rtl/>
        </w:rPr>
      </w:pPr>
      <w:r>
        <w:rPr>
          <w:rFonts w:hint="cs"/>
          <w:rtl/>
        </w:rPr>
        <w:t xml:space="preserve">واحد مطالعاتي در تنقيح قوانين، خود يك قانون نيست. بلكه هر حكم قانوني يك گزاره سلبي يا ايجابي است كه كوچك‌ترين جزء در قانونگذاري محسوب مي‌شود. هر ماده از قانون و يا هر جزء از ماده قانوني مي‌تواند يك گزاره براي تنقيح باشد كه بايد اثرسنجي آن با ساير گزاره‌ها و احكام ملاحظه شود. </w:t>
      </w:r>
    </w:p>
    <w:p w14:paraId="36547046" w14:textId="19DDCCA3" w:rsidR="00D9246A" w:rsidRDefault="00D9246A" w:rsidP="00D9246A">
      <w:pPr>
        <w:rPr>
          <w:rtl/>
        </w:rPr>
      </w:pPr>
      <w:r>
        <w:rPr>
          <w:rFonts w:hint="cs"/>
          <w:rtl/>
        </w:rPr>
        <w:t>در حقيقت اين قوانين نيستند كه يكديگر را نسخ كرده و در هم اثر مي‌گذارند، بلكه حكم‌هاي قانوني هستند كه اين كار را به انجام مي‌رسانند و سامانه هوشمند تنقيح بايستي اين گزاره‌ها را بررسي نمايد.</w:t>
      </w:r>
    </w:p>
    <w:p w14:paraId="343BC60D" w14:textId="39BB03C3" w:rsidR="001766AD" w:rsidRDefault="001766AD" w:rsidP="001766AD">
      <w:pPr>
        <w:pStyle w:val="Heading2"/>
        <w:rPr>
          <w:rtl/>
        </w:rPr>
      </w:pPr>
      <w:bookmarkStart w:id="124" w:name="_Toc144083849"/>
      <w:bookmarkStart w:id="125" w:name="_Toc144085941"/>
      <w:bookmarkStart w:id="126" w:name="_Toc144086168"/>
      <w:r>
        <w:rPr>
          <w:rFonts w:hint="cs"/>
          <w:rtl/>
        </w:rPr>
        <w:t>مرجع قوانين</w:t>
      </w:r>
      <w:bookmarkEnd w:id="124"/>
      <w:bookmarkEnd w:id="125"/>
      <w:bookmarkEnd w:id="126"/>
    </w:p>
    <w:p w14:paraId="1C22BD4E" w14:textId="734D727D" w:rsidR="001766AD" w:rsidRDefault="000E5A2E" w:rsidP="001766AD">
      <w:pPr>
        <w:rPr>
          <w:rtl/>
        </w:rPr>
      </w:pPr>
      <w:r>
        <w:rPr>
          <w:noProof/>
          <w:rtl/>
          <w:lang w:val="fa-IR"/>
        </w:rPr>
        <w:drawing>
          <wp:anchor distT="0" distB="0" distL="114300" distR="114300" simplePos="0" relativeHeight="251675648" behindDoc="0" locked="0" layoutInCell="1" allowOverlap="1" wp14:anchorId="58E2F4A7" wp14:editId="63A893F0">
            <wp:simplePos x="0" y="0"/>
            <wp:positionH relativeFrom="column">
              <wp:posOffset>88900</wp:posOffset>
            </wp:positionH>
            <wp:positionV relativeFrom="paragraph">
              <wp:posOffset>796925</wp:posOffset>
            </wp:positionV>
            <wp:extent cx="3217545" cy="2397125"/>
            <wp:effectExtent l="0" t="0" r="1905" b="31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6294421911.jpg"/>
                    <pic:cNvPicPr/>
                  </pic:nvPicPr>
                  <pic:blipFill rotWithShape="1">
                    <a:blip r:embed="rId20">
                      <a:extLst>
                        <a:ext uri="{BEBA8EAE-BF5A-486C-A8C5-ECC9F3942E4B}">
                          <a14:imgProps xmlns:a14="http://schemas.microsoft.com/office/drawing/2010/main">
                            <a14:imgLayer r:embed="rId2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71821" t="43157" r="1568" b="30362"/>
                    <a:stretch/>
                  </pic:blipFill>
                  <pic:spPr bwMode="auto">
                    <a:xfrm>
                      <a:off x="0" y="0"/>
                      <a:ext cx="3217545" cy="239712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66AD">
        <w:rPr>
          <w:rFonts w:hint="cs"/>
          <w:rtl/>
        </w:rPr>
        <w:t xml:space="preserve">لازم است تمام مقرّره‌هاي كشور به حكم قانوني و گزاره مصوّب آن متصل شود. در حال حاضر اين اتفاق نيافتاده است. اگر اين اتصال در سامانه تنقيح اتفاق بيافتد، مشخص مي‌شود مرجع قانوني هر مقرّره يا مقرّراتي كدام ماده يا مواد قانوني است. </w:t>
      </w:r>
    </w:p>
    <w:p w14:paraId="7B8C1592" w14:textId="1E59BA51" w:rsidR="001766AD" w:rsidRPr="001766AD" w:rsidRDefault="001766AD" w:rsidP="001766AD">
      <w:pPr>
        <w:rPr>
          <w:rtl/>
        </w:rPr>
      </w:pPr>
      <w:r>
        <w:rPr>
          <w:rFonts w:hint="cs"/>
          <w:rtl/>
        </w:rPr>
        <w:t>هيئت تطبيق مصوّبات در مجلس به همين منظور تأسيس شده است. وظيفه اعضاي اين هيئت تطبيق مصوّبات دولت با قوانين مجلس است. محصول كار اين هيئت</w:t>
      </w:r>
      <w:r w:rsidR="00F73C43">
        <w:rPr>
          <w:rFonts w:hint="cs"/>
          <w:rtl/>
        </w:rPr>
        <w:t xml:space="preserve"> كه به صورت يك سامانه آرشيوي طراحي شده است،</w:t>
      </w:r>
      <w:r>
        <w:rPr>
          <w:rFonts w:hint="cs"/>
          <w:rtl/>
        </w:rPr>
        <w:t xml:space="preserve"> بايد به سامانه تنقيح متصل شده و در محاسبات آن به كار گرفته شود.</w:t>
      </w:r>
    </w:p>
    <w:p w14:paraId="55A2D59E" w14:textId="5FD6A7D5" w:rsidR="00664556" w:rsidRDefault="00664556" w:rsidP="00664556">
      <w:pPr>
        <w:pStyle w:val="Heading1"/>
        <w:rPr>
          <w:rtl/>
        </w:rPr>
      </w:pPr>
      <w:bookmarkStart w:id="127" w:name="_Toc144002064"/>
      <w:bookmarkStart w:id="128" w:name="_Toc144083850"/>
      <w:bookmarkStart w:id="129" w:name="_Toc144085942"/>
      <w:bookmarkStart w:id="130" w:name="_Toc144086169"/>
      <w:r>
        <w:rPr>
          <w:rFonts w:hint="cs"/>
          <w:rtl/>
        </w:rPr>
        <w:t>تهذيب قوانين</w:t>
      </w:r>
      <w:bookmarkEnd w:id="127"/>
      <w:bookmarkEnd w:id="128"/>
      <w:bookmarkEnd w:id="129"/>
      <w:bookmarkEnd w:id="130"/>
    </w:p>
    <w:p w14:paraId="62E9E085" w14:textId="42FB4D75" w:rsidR="00664556" w:rsidRDefault="009F1CB4" w:rsidP="00664556">
      <w:pPr>
        <w:rPr>
          <w:rtl/>
        </w:rPr>
      </w:pPr>
      <w:r>
        <w:rPr>
          <w:rFonts w:hint="cs"/>
          <w:rtl/>
        </w:rPr>
        <w:t>اين يك اصطلاح جديد براي سرعت‌بخشي به تنقيح قوانين است. با توجه به اين‌كه غالب قوانين پيش از انقلاب منتفي شده است، به جاي پرداختن به اثرسنجي احكام قوانين در گستره بزرگي از قوانين مصوّب بين سال‌هاي 1285 تا 1357 شمسي</w:t>
      </w:r>
      <w:r w:rsidR="000E5A2E">
        <w:rPr>
          <w:rFonts w:hint="cs"/>
          <w:rtl/>
        </w:rPr>
        <w:t xml:space="preserve"> كه عمليات پيچيده و بسيار زمان‌بري است</w:t>
      </w:r>
      <w:r>
        <w:rPr>
          <w:rFonts w:hint="cs"/>
          <w:rtl/>
        </w:rPr>
        <w:t>، تمركز كار بر قوانين پس از سال 1357 خواهد بود، اما با رويكرد جديدي به نام تهذيب قوانين.</w:t>
      </w:r>
    </w:p>
    <w:p w14:paraId="55615581" w14:textId="4B3CCBC5" w:rsidR="004A015D" w:rsidRDefault="004A015D" w:rsidP="00664556">
      <w:pPr>
        <w:rPr>
          <w:rtl/>
        </w:rPr>
      </w:pPr>
      <w:r>
        <w:rPr>
          <w:rFonts w:hint="cs"/>
          <w:rtl/>
        </w:rPr>
        <w:t>در اين صورت براي رسيدن سريع‌تر به قانون جامع مطلوب تنها كافيست 200 قانون پركاربرد را مورد بررسي و مطالعه قرار دهيم، به جاي 12500 عدد قانوني كه بسياري از آن‌ها بالكل منتفي شده‌اند.</w:t>
      </w:r>
    </w:p>
    <w:p w14:paraId="41572B27" w14:textId="77777777" w:rsidR="00664556" w:rsidRDefault="00664556" w:rsidP="00664556">
      <w:pPr>
        <w:spacing w:line="240" w:lineRule="auto"/>
        <w:ind w:firstLine="0"/>
        <w:jc w:val="center"/>
        <w:rPr>
          <w:rtl/>
        </w:rPr>
      </w:pPr>
      <w:r>
        <w:rPr>
          <w:noProof/>
          <w:rtl/>
          <w:lang w:val="fa-IR"/>
        </w:rPr>
        <w:drawing>
          <wp:inline distT="0" distB="0" distL="0" distR="0" wp14:anchorId="74C127E7" wp14:editId="3876223A">
            <wp:extent cx="6299200" cy="4136066"/>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6294421911.jpg"/>
                    <pic:cNvPicPr/>
                  </pic:nvPicPr>
                  <pic:blipFill rotWithShape="1">
                    <a:blip r:embed="rId22">
                      <a:extLst>
                        <a:ext uri="{BEBA8EAE-BF5A-486C-A8C5-ECC9F3942E4B}">
                          <a14:imgProps xmlns:a14="http://schemas.microsoft.com/office/drawing/2010/main">
                            <a14:imgLayer r:embed="rId2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4024" t="13470" r="8371" b="9754"/>
                    <a:stretch/>
                  </pic:blipFill>
                  <pic:spPr bwMode="auto">
                    <a:xfrm>
                      <a:off x="0" y="0"/>
                      <a:ext cx="6300000" cy="4136591"/>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p w14:paraId="481F5308" w14:textId="62FB05AA" w:rsidR="00664556" w:rsidRDefault="001433D6" w:rsidP="00664556">
      <w:pPr>
        <w:rPr>
          <w:rtl/>
        </w:rPr>
      </w:pPr>
      <w:r>
        <w:rPr>
          <w:noProof/>
          <w:rtl/>
          <w:lang w:val="fa-IR"/>
        </w:rPr>
        <w:drawing>
          <wp:anchor distT="0" distB="0" distL="114300" distR="114300" simplePos="0" relativeHeight="251677696" behindDoc="0" locked="0" layoutInCell="1" allowOverlap="1" wp14:anchorId="2FBC105B" wp14:editId="59D903E3">
            <wp:simplePos x="0" y="0"/>
            <wp:positionH relativeFrom="column">
              <wp:posOffset>37142</wp:posOffset>
            </wp:positionH>
            <wp:positionV relativeFrom="paragraph">
              <wp:posOffset>926214</wp:posOffset>
            </wp:positionV>
            <wp:extent cx="3105150" cy="154368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6294421911.jpg"/>
                    <pic:cNvPicPr/>
                  </pic:nvPicPr>
                  <pic:blipFill rotWithShape="1">
                    <a:blip r:embed="rId22">
                      <a:extLst>
                        <a:ext uri="{BEBA8EAE-BF5A-486C-A8C5-ECC9F3942E4B}">
                          <a14:imgProps xmlns:a14="http://schemas.microsoft.com/office/drawing/2010/main">
                            <a14:imgLayer r:embed="rId2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34262" t="40148" r="33333" b="38345"/>
                    <a:stretch/>
                  </pic:blipFill>
                  <pic:spPr bwMode="auto">
                    <a:xfrm>
                      <a:off x="0" y="0"/>
                      <a:ext cx="3105150" cy="154368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5B70">
        <w:rPr>
          <w:rFonts w:hint="cs"/>
          <w:rtl/>
        </w:rPr>
        <w:t>شيوه‌نامه تهذيب قوانين نوشته شده و آماده استفاده است</w:t>
      </w:r>
      <w:r w:rsidR="00B87E71">
        <w:rPr>
          <w:rFonts w:hint="cs"/>
          <w:rtl/>
        </w:rPr>
        <w:t xml:space="preserve"> و براي عملياتي كردن </w:t>
      </w:r>
      <w:r w:rsidR="00B050AF">
        <w:rPr>
          <w:rFonts w:hint="cs"/>
          <w:rtl/>
        </w:rPr>
        <w:t xml:space="preserve">فقط </w:t>
      </w:r>
      <w:r w:rsidR="00B87E71">
        <w:rPr>
          <w:rFonts w:hint="cs"/>
          <w:rtl/>
        </w:rPr>
        <w:t>نياز به تصويب</w:t>
      </w:r>
      <w:r w:rsidR="00B050AF">
        <w:rPr>
          <w:rFonts w:hint="cs"/>
          <w:rtl/>
        </w:rPr>
        <w:t xml:space="preserve"> دارد.</w:t>
      </w:r>
      <w:r w:rsidR="00FE25B0">
        <w:rPr>
          <w:rFonts w:hint="cs"/>
          <w:rtl/>
        </w:rPr>
        <w:t xml:space="preserve"> مهم‌ترين ويژگي استفاده از روش تهذيب قوانين اين است كه پس از به انجام رسيدن و كامل شدن، فضايي ايجاد مي‌كند كه تنقيح را بسيار آسان و ساده مي‌سازد. بمثابه يك ميان‌بر مي‌تواند مسير دستيابي به تنقيح قوانين را هموار كند.</w:t>
      </w:r>
      <w:r w:rsidR="0001168D">
        <w:rPr>
          <w:rFonts w:hint="cs"/>
          <w:rtl/>
        </w:rPr>
        <w:t xml:space="preserve"> بدون آن</w:t>
      </w:r>
      <w:r w:rsidR="001B5967">
        <w:rPr>
          <w:rFonts w:hint="cs"/>
          <w:rtl/>
        </w:rPr>
        <w:t>،</w:t>
      </w:r>
      <w:r w:rsidR="0001168D">
        <w:rPr>
          <w:rFonts w:hint="cs"/>
          <w:rtl/>
        </w:rPr>
        <w:t xml:space="preserve"> تنقيح عمليات بسيار سنگين و حجيمي خواهد داشت.</w:t>
      </w:r>
    </w:p>
    <w:p w14:paraId="68EAE113" w14:textId="75308F6C" w:rsidR="00F45B70" w:rsidRDefault="00F45B70" w:rsidP="00664556">
      <w:pPr>
        <w:rPr>
          <w:rtl/>
        </w:rPr>
      </w:pPr>
      <w:r>
        <w:rPr>
          <w:rFonts w:hint="cs"/>
          <w:rtl/>
        </w:rPr>
        <w:t>ويژگي اين 200 قانون</w:t>
      </w:r>
      <w:r w:rsidR="001B5967">
        <w:rPr>
          <w:rFonts w:hint="cs"/>
          <w:rtl/>
        </w:rPr>
        <w:t xml:space="preserve"> پركاربرد</w:t>
      </w:r>
      <w:r>
        <w:rPr>
          <w:rFonts w:hint="cs"/>
          <w:rtl/>
        </w:rPr>
        <w:t xml:space="preserve"> آماده بودن متن آن‌ها و دقّت بالا در تدوين و سندسازي است.</w:t>
      </w:r>
      <w:r w:rsidR="001433D6">
        <w:rPr>
          <w:rFonts w:hint="cs"/>
          <w:rtl/>
        </w:rPr>
        <w:t xml:space="preserve"> قوانين مرتبط هم در كنار هم،</w:t>
      </w:r>
      <w:r>
        <w:rPr>
          <w:rFonts w:hint="cs"/>
          <w:rtl/>
        </w:rPr>
        <w:t xml:space="preserve"> در سامانه‌هاي آرشيوي وجود دار</w:t>
      </w:r>
      <w:r w:rsidR="00B87E71">
        <w:rPr>
          <w:rFonts w:hint="cs"/>
          <w:rtl/>
        </w:rPr>
        <w:t>ن</w:t>
      </w:r>
      <w:r>
        <w:rPr>
          <w:rFonts w:hint="cs"/>
          <w:rtl/>
        </w:rPr>
        <w:t xml:space="preserve">د و به سادگي در دسترس هستند. </w:t>
      </w:r>
      <w:r w:rsidR="001B5967">
        <w:rPr>
          <w:rFonts w:hint="cs"/>
          <w:rtl/>
        </w:rPr>
        <w:t>اين قوانين هر روزه مورد ارجاع و استفاده قرار مي‌گيرند و اثري بسيار بيشتر از ساير قوانين دارند.</w:t>
      </w:r>
    </w:p>
    <w:p w14:paraId="02C457D2" w14:textId="04623B4F" w:rsidR="002D6A1F" w:rsidRPr="00664556" w:rsidRDefault="002D6A1F" w:rsidP="00664556">
      <w:pPr>
        <w:rPr>
          <w:rtl/>
        </w:rPr>
      </w:pPr>
      <w:r>
        <w:rPr>
          <w:rFonts w:hint="cs"/>
          <w:rtl/>
        </w:rPr>
        <w:t>اكنون در معاونت قوانين 50 عدد از پركاربردترين قوانين از ميان 200 قانون ياد شده انتخاب و در حال مطالعه و بررسي تهذيبي است.</w:t>
      </w:r>
      <w:r w:rsidR="001433D6">
        <w:rPr>
          <w:rFonts w:hint="cs"/>
          <w:rtl/>
        </w:rPr>
        <w:t xml:space="preserve"> اين رقم مي‌تواند تا 300 قانون پركاربرد را در آينده شامل شود. ولي به دليل غيرماشيني بودن و عدم اتكا به سامانه هوشمند، حصول نتيجه زمان‌بر است.</w:t>
      </w:r>
    </w:p>
    <w:p w14:paraId="2DC7660D" w14:textId="369E247A" w:rsidR="00664556" w:rsidRDefault="001433D6" w:rsidP="001433D6">
      <w:pPr>
        <w:pStyle w:val="Heading2"/>
        <w:rPr>
          <w:rtl/>
        </w:rPr>
      </w:pPr>
      <w:bookmarkStart w:id="131" w:name="_Toc144085943"/>
      <w:bookmarkStart w:id="132" w:name="_Toc144086170"/>
      <w:r>
        <w:rPr>
          <w:noProof/>
          <w:rtl/>
          <w:lang w:val="fa-IR"/>
        </w:rPr>
        <w:drawing>
          <wp:anchor distT="0" distB="0" distL="114300" distR="114300" simplePos="0" relativeHeight="251679744" behindDoc="0" locked="0" layoutInCell="1" allowOverlap="1" wp14:anchorId="6B11861C" wp14:editId="12F4DD89">
            <wp:simplePos x="0" y="0"/>
            <wp:positionH relativeFrom="column">
              <wp:posOffset>-5715</wp:posOffset>
            </wp:positionH>
            <wp:positionV relativeFrom="paragraph">
              <wp:posOffset>45720</wp:posOffset>
            </wp:positionV>
            <wp:extent cx="2794635" cy="1457325"/>
            <wp:effectExtent l="0" t="0" r="5715"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6294421911.jpg"/>
                    <pic:cNvPicPr/>
                  </pic:nvPicPr>
                  <pic:blipFill rotWithShape="1">
                    <a:blip r:embed="rId22">
                      <a:extLst>
                        <a:ext uri="{BEBA8EAE-BF5A-486C-A8C5-ECC9F3942E4B}">
                          <a14:imgProps xmlns:a14="http://schemas.microsoft.com/office/drawing/2010/main">
                            <a14:imgLayer r:embed="rId2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57399" t="63223" r="13433" b="16466"/>
                    <a:stretch/>
                  </pic:blipFill>
                  <pic:spPr bwMode="auto">
                    <a:xfrm>
                      <a:off x="0" y="0"/>
                      <a:ext cx="2794635" cy="145732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cs"/>
          <w:rtl/>
        </w:rPr>
        <w:t>روند تهذيب</w:t>
      </w:r>
      <w:bookmarkEnd w:id="131"/>
      <w:bookmarkEnd w:id="132"/>
    </w:p>
    <w:p w14:paraId="0308087B" w14:textId="2E46B37D" w:rsidR="001433D6" w:rsidRDefault="001433D6" w:rsidP="001433D6">
      <w:pPr>
        <w:rPr>
          <w:rtl/>
        </w:rPr>
      </w:pPr>
      <w:r>
        <w:rPr>
          <w:rFonts w:hint="cs"/>
          <w:rtl/>
        </w:rPr>
        <w:t>قوانين پركاربرد بارها در مجلس بررسي شده و مورد اصلاح قرار گرفته‌اند. در نخستين گام، تمام نسخه‌هاي آن قانون همراه با تمام تغييرات و اصلاحيه‌ها در كنار هم قرار مي‌گيرد. قوانين مرتّب و منظّم مي‌شوند و نهايي‌ترين قانون را ارائه مي‌كند.</w:t>
      </w:r>
    </w:p>
    <w:p w14:paraId="148C9611" w14:textId="66206849" w:rsidR="001433D6" w:rsidRDefault="00724397" w:rsidP="00724397">
      <w:pPr>
        <w:pStyle w:val="ListParagraph"/>
        <w:numPr>
          <w:ilvl w:val="0"/>
          <w:numId w:val="8"/>
        </w:numPr>
      </w:pPr>
      <w:r>
        <w:rPr>
          <w:rFonts w:hint="cs"/>
          <w:rtl/>
        </w:rPr>
        <w:t>انتخاب قوانين پركاربرد؛ بين 50 تا 300 عدد</w:t>
      </w:r>
    </w:p>
    <w:p w14:paraId="6A579E3C" w14:textId="70AA78C8" w:rsidR="00724397" w:rsidRDefault="00724397" w:rsidP="00724397">
      <w:pPr>
        <w:pStyle w:val="ListParagraph"/>
        <w:numPr>
          <w:ilvl w:val="0"/>
          <w:numId w:val="8"/>
        </w:numPr>
      </w:pPr>
      <w:r>
        <w:rPr>
          <w:rFonts w:hint="cs"/>
          <w:rtl/>
        </w:rPr>
        <w:t>يافتن قوانين تبعي هر كدام از آن‌ها؛ قوانيني كه پس از اصلاح</w:t>
      </w:r>
      <w:r w:rsidR="007B236C">
        <w:rPr>
          <w:rFonts w:hint="cs"/>
          <w:rtl/>
        </w:rPr>
        <w:t xml:space="preserve"> و الحاقات</w:t>
      </w:r>
      <w:r>
        <w:rPr>
          <w:rFonts w:hint="cs"/>
          <w:rtl/>
        </w:rPr>
        <w:t xml:space="preserve"> كنار گذاشته شده‌اند. در حقيقت نسخه‌هاي قبلي هر قانون هستند.</w:t>
      </w:r>
    </w:p>
    <w:p w14:paraId="71FAD1EB" w14:textId="2A3E5187" w:rsidR="00724397" w:rsidRDefault="00724397" w:rsidP="00724397">
      <w:pPr>
        <w:pStyle w:val="ListParagraph"/>
        <w:numPr>
          <w:ilvl w:val="0"/>
          <w:numId w:val="8"/>
        </w:numPr>
      </w:pPr>
      <w:r>
        <w:rPr>
          <w:rFonts w:hint="cs"/>
          <w:rtl/>
        </w:rPr>
        <w:t>يافتن قوانين مرتبط با هر كدام از آن‌ها؛ قوانيني كه مستقل از قانون اصلي هستند، ولي به دليل</w:t>
      </w:r>
      <w:r w:rsidR="007B236C">
        <w:rPr>
          <w:rFonts w:hint="cs"/>
          <w:rtl/>
        </w:rPr>
        <w:t xml:space="preserve"> يكساني</w:t>
      </w:r>
      <w:r>
        <w:rPr>
          <w:rFonts w:hint="cs"/>
          <w:rtl/>
        </w:rPr>
        <w:t xml:space="preserve"> موضوع با آن ارتباط پيدا مي‌كنند.</w:t>
      </w:r>
    </w:p>
    <w:p w14:paraId="1426BA24" w14:textId="56E87CED" w:rsidR="007B236C" w:rsidRDefault="00E212E9" w:rsidP="00724397">
      <w:pPr>
        <w:pStyle w:val="ListParagraph"/>
        <w:numPr>
          <w:ilvl w:val="0"/>
          <w:numId w:val="8"/>
        </w:numPr>
      </w:pPr>
      <w:r>
        <w:rPr>
          <w:noProof/>
          <w:rtl/>
          <w:lang w:val="fa-IR"/>
        </w:rPr>
        <w:drawing>
          <wp:anchor distT="0" distB="0" distL="114300" distR="114300" simplePos="0" relativeHeight="251681792" behindDoc="0" locked="0" layoutInCell="1" allowOverlap="1" wp14:anchorId="70A3CC32" wp14:editId="78026A57">
            <wp:simplePos x="0" y="0"/>
            <wp:positionH relativeFrom="column">
              <wp:posOffset>-5080</wp:posOffset>
            </wp:positionH>
            <wp:positionV relativeFrom="paragraph">
              <wp:posOffset>374482</wp:posOffset>
            </wp:positionV>
            <wp:extent cx="1336675" cy="3327400"/>
            <wp:effectExtent l="0" t="0" r="0" b="635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6294421911.jpg"/>
                    <pic:cNvPicPr/>
                  </pic:nvPicPr>
                  <pic:blipFill rotWithShape="1">
                    <a:blip r:embed="rId24">
                      <a:extLst>
                        <a:ext uri="{BEBA8EAE-BF5A-486C-A8C5-ECC9F3942E4B}">
                          <a14:imgProps xmlns:a14="http://schemas.microsoft.com/office/drawing/2010/main">
                            <a14:imgLayer r:embed="rId23">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l="4368" t="16349" r="84558" b="46861"/>
                    <a:stretch/>
                  </pic:blipFill>
                  <pic:spPr bwMode="auto">
                    <a:xfrm>
                      <a:off x="0" y="0"/>
                      <a:ext cx="1336675" cy="332740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236C">
        <w:rPr>
          <w:rFonts w:hint="cs"/>
          <w:rtl/>
        </w:rPr>
        <w:t>مطابقه و اصلاح متن ابلاغيه قوانين؛ با اتكا بر مطالعه و بررسي قوانين مستقل، تبعي و مرتبط با آن قانون.</w:t>
      </w:r>
      <w:r w:rsidR="00F36865">
        <w:rPr>
          <w:rFonts w:hint="cs"/>
          <w:rtl/>
        </w:rPr>
        <w:t xml:space="preserve"> محصول آن دستيابي به «متن مرجع» قانون است.</w:t>
      </w:r>
    </w:p>
    <w:p w14:paraId="06105129" w14:textId="4C0B66E4" w:rsidR="00F36865" w:rsidRDefault="00F36865" w:rsidP="00724397">
      <w:pPr>
        <w:pStyle w:val="ListParagraph"/>
        <w:numPr>
          <w:ilvl w:val="0"/>
          <w:numId w:val="8"/>
        </w:numPr>
      </w:pPr>
      <w:r>
        <w:rPr>
          <w:rFonts w:hint="cs"/>
          <w:rtl/>
        </w:rPr>
        <w:t>ثبت شاخصه‌هاي مرتبط با قانون؛ در حال حاضر صد شاخصه در نظر گرفته شده است كه براي هر قانون مستقل، تبعي و يا مرتبط تعيين شده و در سامانه بانك قوانين ثبت خواهد شد.</w:t>
      </w:r>
      <w:r w:rsidR="002A7C8C">
        <w:rPr>
          <w:rFonts w:hint="cs"/>
          <w:rtl/>
        </w:rPr>
        <w:t xml:space="preserve"> به اين عمليات «تسجيل» مي‌گوييم.</w:t>
      </w:r>
    </w:p>
    <w:p w14:paraId="6FACDEE0" w14:textId="7D283D2F" w:rsidR="002A7C8C" w:rsidRDefault="002A7C8C" w:rsidP="002A7C8C">
      <w:pPr>
        <w:pStyle w:val="Heading2"/>
        <w:rPr>
          <w:rtl/>
        </w:rPr>
      </w:pPr>
      <w:bookmarkStart w:id="133" w:name="_Toc144085944"/>
      <w:bookmarkStart w:id="134" w:name="_Toc144086171"/>
      <w:r>
        <w:rPr>
          <w:rFonts w:hint="cs"/>
          <w:rtl/>
        </w:rPr>
        <w:t>اصول تهذيب</w:t>
      </w:r>
      <w:bookmarkEnd w:id="133"/>
      <w:bookmarkEnd w:id="134"/>
    </w:p>
    <w:p w14:paraId="0BC03F4B" w14:textId="0DE1040A" w:rsidR="002A7C8C" w:rsidRDefault="002A7C8C" w:rsidP="002A7C8C">
      <w:pPr>
        <w:rPr>
          <w:rtl/>
        </w:rPr>
      </w:pPr>
      <w:r>
        <w:rPr>
          <w:rFonts w:hint="cs"/>
          <w:rtl/>
        </w:rPr>
        <w:t>دستيابي به «متن مرجع» و «تسجيل» را تهذيب مي‌گوييم و قوانيني كه ما را به اين دو عمليات برساند اصول تهذيب ناميده مي‌شود. اين قواعد در شيوه‌نامه تهذيب نگارش يافته است.</w:t>
      </w:r>
    </w:p>
    <w:p w14:paraId="0C64A696" w14:textId="72373DB5" w:rsidR="00E212E9" w:rsidRDefault="00E212E9" w:rsidP="002A7C8C">
      <w:pPr>
        <w:rPr>
          <w:rtl/>
        </w:rPr>
      </w:pPr>
      <w:r>
        <w:rPr>
          <w:rFonts w:hint="cs"/>
          <w:rtl/>
        </w:rPr>
        <w:t>در پايان عمليات تهذيب و پس از به‏كارگيري اصول آن، سه دسته از قوانين به ترتيب اولويّت در بانك قوانين قرار خواهند گرفت:</w:t>
      </w:r>
    </w:p>
    <w:p w14:paraId="3C2E493A" w14:textId="0BF63C5F" w:rsidR="00E212E9" w:rsidRDefault="00E212E9" w:rsidP="00E212E9">
      <w:pPr>
        <w:pStyle w:val="ListParagraph"/>
        <w:numPr>
          <w:ilvl w:val="0"/>
          <w:numId w:val="9"/>
        </w:numPr>
      </w:pPr>
      <w:r>
        <w:rPr>
          <w:rFonts w:hint="cs"/>
          <w:rtl/>
        </w:rPr>
        <w:t>قوانين مهذّب معتبر</w:t>
      </w:r>
    </w:p>
    <w:p w14:paraId="0076CCDA" w14:textId="2FADD5DB" w:rsidR="00E212E9" w:rsidRDefault="00E212E9" w:rsidP="00E212E9">
      <w:pPr>
        <w:pStyle w:val="ListParagraph"/>
        <w:numPr>
          <w:ilvl w:val="0"/>
          <w:numId w:val="9"/>
        </w:numPr>
      </w:pPr>
      <w:r>
        <w:rPr>
          <w:rFonts w:hint="cs"/>
          <w:rtl/>
        </w:rPr>
        <w:t>قوانين مهذّب غيرمعتبر</w:t>
      </w:r>
    </w:p>
    <w:p w14:paraId="3AF2085A" w14:textId="0EAAB1B9" w:rsidR="00E212E9" w:rsidRDefault="00E212E9" w:rsidP="00E212E9">
      <w:pPr>
        <w:pStyle w:val="ListParagraph"/>
        <w:numPr>
          <w:ilvl w:val="0"/>
          <w:numId w:val="9"/>
        </w:numPr>
        <w:rPr>
          <w:rtl/>
        </w:rPr>
      </w:pPr>
      <w:r>
        <w:rPr>
          <w:rFonts w:hint="cs"/>
          <w:rtl/>
        </w:rPr>
        <w:t>قوانين غيرمهذّب</w:t>
      </w:r>
    </w:p>
    <w:p w14:paraId="67506608" w14:textId="2D5BC8DE" w:rsidR="00BF288B" w:rsidRDefault="00BF288B" w:rsidP="002A7C8C">
      <w:pPr>
        <w:rPr>
          <w:rtl/>
        </w:rPr>
      </w:pPr>
      <w:r>
        <w:rPr>
          <w:rFonts w:hint="cs"/>
          <w:rtl/>
        </w:rPr>
        <w:t>در گام بعدي كه عمليات تنقيح قوانين است، محور اثرسنجي مشخص مي‌شود. زيرا علميات تهذيب قوانين توانسته است قوانين مهذّب معتبر را در اختيار قرار دهد. پس همين قوانين مهذّب معتبر با تمامي قوانين ديگر سنجيده و اثرسنجي مي‌شود و تنقيح را سهل‌الوصول مي‌سازد.</w:t>
      </w:r>
    </w:p>
    <w:p w14:paraId="08B44F19" w14:textId="5DC846C9" w:rsidR="002A7C8C" w:rsidRPr="002A7C8C" w:rsidRDefault="002A7C8C" w:rsidP="002A7C8C">
      <w:pPr>
        <w:rPr>
          <w:rtl/>
        </w:rPr>
      </w:pPr>
      <w:r>
        <w:rPr>
          <w:rFonts w:hint="cs"/>
          <w:rtl/>
        </w:rPr>
        <w:t xml:space="preserve">[ضرورت دارد شيوه‌نامه تهذيب دريافت شده و به صورت پيوست در انتهاي اين </w:t>
      </w:r>
      <w:r w:rsidR="00BD524C">
        <w:rPr>
          <w:rFonts w:hint="cs"/>
          <w:rtl/>
        </w:rPr>
        <w:t>نوشته</w:t>
      </w:r>
      <w:r>
        <w:rPr>
          <w:rFonts w:hint="cs"/>
          <w:rtl/>
        </w:rPr>
        <w:t xml:space="preserve"> قرار گيرد.]</w:t>
      </w:r>
    </w:p>
    <w:p w14:paraId="3C0EE231" w14:textId="447C58C1" w:rsidR="00296ED4" w:rsidRDefault="008839BD" w:rsidP="008839BD">
      <w:pPr>
        <w:jc w:val="right"/>
        <w:rPr>
          <w:rtl/>
        </w:rPr>
      </w:pPr>
      <w:r>
        <w:rPr>
          <w:rFonts w:hint="cs"/>
          <w:rtl/>
        </w:rPr>
        <w:t xml:space="preserve">پايان جلسه </w:t>
      </w:r>
      <w:r w:rsidR="0027686E">
        <w:rPr>
          <w:rFonts w:hint="cs"/>
          <w:rtl/>
        </w:rPr>
        <w:t>دوم</w:t>
      </w:r>
    </w:p>
    <w:p w14:paraId="7165CD89" w14:textId="77777777" w:rsidR="00296ED4" w:rsidRDefault="00296ED4">
      <w:pPr>
        <w:widowControl/>
        <w:bidi w:val="0"/>
        <w:spacing w:after="200" w:line="276" w:lineRule="auto"/>
        <w:ind w:firstLine="0"/>
        <w:jc w:val="left"/>
        <w:rPr>
          <w:rtl/>
        </w:rPr>
      </w:pPr>
      <w:r>
        <w:rPr>
          <w:rtl/>
        </w:rPr>
        <w:br w:type="page"/>
      </w:r>
    </w:p>
    <w:p w14:paraId="5CDDCFDE" w14:textId="77777777" w:rsidR="008839BD" w:rsidRDefault="008839BD" w:rsidP="008839BD">
      <w:pPr>
        <w:jc w:val="right"/>
        <w:rPr>
          <w:rtl/>
        </w:rPr>
      </w:pPr>
    </w:p>
    <w:p w14:paraId="22083743" w14:textId="5B187AB4" w:rsidR="00793BA9" w:rsidRDefault="00793BA9" w:rsidP="00793BA9">
      <w:pPr>
        <w:pStyle w:val="Heading1"/>
        <w:jc w:val="center"/>
        <w:rPr>
          <w:rtl/>
        </w:rPr>
      </w:pPr>
      <w:bookmarkStart w:id="135" w:name="_Toc144002065"/>
      <w:bookmarkStart w:id="136" w:name="_Toc144083851"/>
      <w:bookmarkStart w:id="137" w:name="_Toc144085945"/>
      <w:bookmarkStart w:id="138" w:name="_Toc144086172"/>
      <w:r>
        <w:rPr>
          <w:rFonts w:hint="cs"/>
          <w:rtl/>
        </w:rPr>
        <w:t>فهرست مباحث اين جلسه</w:t>
      </w:r>
      <w:bookmarkEnd w:id="135"/>
      <w:bookmarkEnd w:id="136"/>
      <w:bookmarkEnd w:id="137"/>
      <w:bookmarkEnd w:id="138"/>
    </w:p>
    <w:p w14:paraId="55282B86" w14:textId="77777777" w:rsidR="00296ED4" w:rsidRPr="00296ED4" w:rsidRDefault="00296ED4" w:rsidP="00296ED4">
      <w:pPr>
        <w:rPr>
          <w:sz w:val="6"/>
          <w:szCs w:val="12"/>
          <w:rtl/>
        </w:rPr>
      </w:pPr>
    </w:p>
    <w:p w14:paraId="303CC76E" w14:textId="77777777" w:rsidR="00793BA9" w:rsidRPr="00FC2C6D" w:rsidRDefault="00793BA9" w:rsidP="004118F5">
      <w:pPr>
        <w:pStyle w:val="TOC1"/>
        <w:numPr>
          <w:ilvl w:val="0"/>
          <w:numId w:val="0"/>
        </w:numPr>
        <w:ind w:left="720"/>
        <w:rPr>
          <w:sz w:val="2"/>
          <w:szCs w:val="6"/>
          <w:rtl/>
        </w:rPr>
      </w:pPr>
    </w:p>
    <w:p w14:paraId="26BB8262" w14:textId="77777777" w:rsidR="004118F5" w:rsidRPr="00FC2C6D" w:rsidRDefault="004118F5" w:rsidP="004118F5">
      <w:pPr>
        <w:rPr>
          <w:sz w:val="2"/>
          <w:szCs w:val="2"/>
          <w:rtl/>
        </w:rPr>
        <w:sectPr w:rsidR="004118F5" w:rsidRPr="00FC2C6D" w:rsidSect="00024D73">
          <w:footerReference w:type="default" r:id="rId25"/>
          <w:headerReference w:type="first" r:id="rId26"/>
          <w:footerReference w:type="first" r:id="rId27"/>
          <w:pgSz w:w="11906" w:h="16838" w:code="9"/>
          <w:pgMar w:top="851" w:right="851" w:bottom="851" w:left="851" w:header="709" w:footer="709" w:gutter="284"/>
          <w:cols w:space="708"/>
          <w:titlePg/>
          <w:bidi/>
          <w:rtlGutter/>
          <w:docGrid w:linePitch="360"/>
        </w:sectPr>
      </w:pPr>
    </w:p>
    <w:p w14:paraId="767C3CAD" w14:textId="77777777" w:rsidR="00296ED4" w:rsidRDefault="00793BA9" w:rsidP="00296ED4">
      <w:pPr>
        <w:pStyle w:val="TOC1"/>
        <w:numPr>
          <w:ilvl w:val="0"/>
          <w:numId w:val="10"/>
        </w:numPr>
        <w:rPr>
          <w:rFonts w:eastAsiaTheme="minorEastAsia" w:cstheme="minorBidi"/>
          <w:noProof/>
          <w:szCs w:val="22"/>
          <w:rtl/>
        </w:rPr>
      </w:pPr>
      <w:r>
        <w:rPr>
          <w:rtl/>
        </w:rPr>
        <w:fldChar w:fldCharType="begin"/>
      </w:r>
      <w:r>
        <w:rPr>
          <w:rtl/>
        </w:rPr>
        <w:instrText xml:space="preserve"> </w:instrText>
      </w:r>
      <w:r>
        <w:instrText>TOC</w:instrText>
      </w:r>
      <w:r>
        <w:rPr>
          <w:rtl/>
        </w:rPr>
        <w:instrText xml:space="preserve"> \</w:instrText>
      </w:r>
      <w:r>
        <w:instrText>o "1-3" \n \u</w:instrText>
      </w:r>
      <w:r>
        <w:rPr>
          <w:rtl/>
        </w:rPr>
        <w:instrText xml:space="preserve"> </w:instrText>
      </w:r>
      <w:r>
        <w:rPr>
          <w:rtl/>
        </w:rPr>
        <w:fldChar w:fldCharType="separate"/>
      </w:r>
      <w:r w:rsidR="00296ED4">
        <w:rPr>
          <w:rFonts w:hint="eastAsia"/>
          <w:noProof/>
          <w:rtl/>
        </w:rPr>
        <w:t>مراحل</w:t>
      </w:r>
      <w:r w:rsidR="00296ED4">
        <w:rPr>
          <w:noProof/>
          <w:rtl/>
        </w:rPr>
        <w:t xml:space="preserve"> </w:t>
      </w:r>
      <w:r w:rsidR="00296ED4">
        <w:rPr>
          <w:rFonts w:hint="eastAsia"/>
          <w:noProof/>
          <w:rtl/>
        </w:rPr>
        <w:t>قانونگذاري</w:t>
      </w:r>
    </w:p>
    <w:p w14:paraId="1730ACD7" w14:textId="77777777" w:rsidR="00296ED4" w:rsidRDefault="00296ED4" w:rsidP="00296ED4">
      <w:pPr>
        <w:pStyle w:val="TOC2"/>
        <w:numPr>
          <w:ilvl w:val="1"/>
          <w:numId w:val="10"/>
        </w:numPr>
        <w:spacing w:after="0"/>
        <w:contextualSpacing/>
        <w:rPr>
          <w:rFonts w:eastAsiaTheme="minorEastAsia" w:cstheme="minorBidi"/>
          <w:noProof/>
          <w:szCs w:val="22"/>
          <w:rtl/>
        </w:rPr>
      </w:pPr>
      <w:r>
        <w:rPr>
          <w:rFonts w:hint="eastAsia"/>
          <w:noProof/>
          <w:rtl/>
        </w:rPr>
        <w:t>تدوين</w:t>
      </w:r>
    </w:p>
    <w:p w14:paraId="41636E7A" w14:textId="77777777" w:rsidR="00296ED4" w:rsidRDefault="00296ED4" w:rsidP="00296ED4">
      <w:pPr>
        <w:pStyle w:val="TOC2"/>
        <w:numPr>
          <w:ilvl w:val="1"/>
          <w:numId w:val="10"/>
        </w:numPr>
        <w:spacing w:after="0"/>
        <w:contextualSpacing/>
        <w:rPr>
          <w:rFonts w:eastAsiaTheme="minorEastAsia" w:cstheme="minorBidi"/>
          <w:noProof/>
          <w:szCs w:val="22"/>
          <w:rtl/>
        </w:rPr>
      </w:pPr>
      <w:r>
        <w:rPr>
          <w:rFonts w:hint="eastAsia"/>
          <w:noProof/>
          <w:rtl/>
        </w:rPr>
        <w:t>تصويب</w:t>
      </w:r>
    </w:p>
    <w:p w14:paraId="1E9204E8" w14:textId="77777777" w:rsidR="00296ED4" w:rsidRDefault="00296ED4" w:rsidP="00296ED4">
      <w:pPr>
        <w:pStyle w:val="TOC2"/>
        <w:numPr>
          <w:ilvl w:val="1"/>
          <w:numId w:val="10"/>
        </w:numPr>
        <w:spacing w:after="0"/>
        <w:contextualSpacing/>
        <w:rPr>
          <w:rFonts w:eastAsiaTheme="minorEastAsia" w:cstheme="minorBidi"/>
          <w:noProof/>
          <w:szCs w:val="22"/>
          <w:rtl/>
        </w:rPr>
      </w:pPr>
      <w:r>
        <w:rPr>
          <w:rFonts w:hint="eastAsia"/>
          <w:noProof/>
          <w:rtl/>
        </w:rPr>
        <w:t>تنقيح</w:t>
      </w:r>
    </w:p>
    <w:p w14:paraId="62D2EFCD" w14:textId="77777777" w:rsidR="00296ED4" w:rsidRDefault="00296ED4" w:rsidP="00296ED4">
      <w:pPr>
        <w:pStyle w:val="TOC2"/>
        <w:spacing w:after="0"/>
        <w:contextualSpacing/>
        <w:rPr>
          <w:rFonts w:eastAsiaTheme="minorEastAsia" w:cstheme="minorBidi"/>
          <w:noProof/>
          <w:szCs w:val="22"/>
          <w:rtl/>
        </w:rPr>
      </w:pPr>
      <w:r>
        <w:rPr>
          <w:rFonts w:hint="eastAsia"/>
          <w:noProof/>
          <w:rtl/>
        </w:rPr>
        <w:t>تنقيح</w:t>
      </w:r>
      <w:r>
        <w:rPr>
          <w:noProof/>
          <w:rtl/>
        </w:rPr>
        <w:t xml:space="preserve"> </w:t>
      </w:r>
      <w:r>
        <w:rPr>
          <w:rFonts w:hint="eastAsia"/>
          <w:noProof/>
          <w:rtl/>
        </w:rPr>
        <w:t>سنّتي</w:t>
      </w:r>
    </w:p>
    <w:p w14:paraId="51467C2A" w14:textId="77777777" w:rsidR="00296ED4" w:rsidRDefault="00296ED4" w:rsidP="00296ED4">
      <w:pPr>
        <w:pStyle w:val="TOC2"/>
        <w:spacing w:after="0"/>
        <w:contextualSpacing/>
        <w:rPr>
          <w:rFonts w:eastAsiaTheme="minorEastAsia" w:cstheme="minorBidi"/>
          <w:noProof/>
          <w:szCs w:val="22"/>
          <w:rtl/>
        </w:rPr>
      </w:pPr>
      <w:r>
        <w:rPr>
          <w:rFonts w:hint="eastAsia"/>
          <w:noProof/>
          <w:rtl/>
        </w:rPr>
        <w:t>تنقيح</w:t>
      </w:r>
      <w:r>
        <w:rPr>
          <w:noProof/>
          <w:rtl/>
        </w:rPr>
        <w:t xml:space="preserve"> </w:t>
      </w:r>
      <w:r>
        <w:rPr>
          <w:rFonts w:hint="eastAsia"/>
          <w:noProof/>
          <w:rtl/>
        </w:rPr>
        <w:t>نوين</w:t>
      </w:r>
    </w:p>
    <w:p w14:paraId="1816384B" w14:textId="77777777" w:rsidR="00296ED4" w:rsidRDefault="00296ED4" w:rsidP="00296ED4">
      <w:pPr>
        <w:pStyle w:val="TOC2"/>
        <w:numPr>
          <w:ilvl w:val="1"/>
          <w:numId w:val="10"/>
        </w:numPr>
        <w:spacing w:after="0"/>
        <w:contextualSpacing/>
        <w:rPr>
          <w:rFonts w:eastAsiaTheme="minorEastAsia" w:cstheme="minorBidi"/>
          <w:noProof/>
          <w:szCs w:val="22"/>
          <w:rtl/>
        </w:rPr>
      </w:pPr>
      <w:r>
        <w:rPr>
          <w:rFonts w:hint="eastAsia"/>
          <w:noProof/>
          <w:rtl/>
        </w:rPr>
        <w:t>تفسير</w:t>
      </w:r>
    </w:p>
    <w:p w14:paraId="277A5157" w14:textId="77777777" w:rsidR="00296ED4" w:rsidRDefault="00296ED4" w:rsidP="00296ED4">
      <w:pPr>
        <w:pStyle w:val="TOC2"/>
        <w:spacing w:after="0"/>
        <w:contextualSpacing/>
        <w:rPr>
          <w:rFonts w:eastAsiaTheme="minorEastAsia" w:cstheme="minorBidi"/>
          <w:noProof/>
          <w:szCs w:val="22"/>
          <w:rtl/>
        </w:rPr>
      </w:pPr>
      <w:r>
        <w:rPr>
          <w:rFonts w:hint="eastAsia"/>
          <w:noProof/>
          <w:rtl/>
        </w:rPr>
        <w:t>استفساريه</w:t>
      </w:r>
    </w:p>
    <w:p w14:paraId="1A8F4402" w14:textId="77777777" w:rsidR="00296ED4" w:rsidRDefault="00296ED4" w:rsidP="00296ED4">
      <w:pPr>
        <w:pStyle w:val="TOC2"/>
        <w:spacing w:after="0"/>
        <w:contextualSpacing/>
        <w:rPr>
          <w:rFonts w:eastAsiaTheme="minorEastAsia" w:cstheme="minorBidi"/>
          <w:noProof/>
          <w:szCs w:val="22"/>
          <w:rtl/>
        </w:rPr>
      </w:pPr>
      <w:r>
        <w:rPr>
          <w:rFonts w:hint="eastAsia"/>
          <w:noProof/>
          <w:rtl/>
        </w:rPr>
        <w:t>اداره</w:t>
      </w:r>
      <w:r>
        <w:rPr>
          <w:noProof/>
          <w:rtl/>
        </w:rPr>
        <w:t xml:space="preserve"> </w:t>
      </w:r>
      <w:r>
        <w:rPr>
          <w:rFonts w:hint="eastAsia"/>
          <w:noProof/>
          <w:rtl/>
        </w:rPr>
        <w:t>مشاوره‌هاي</w:t>
      </w:r>
      <w:r>
        <w:rPr>
          <w:noProof/>
          <w:rtl/>
        </w:rPr>
        <w:t xml:space="preserve"> </w:t>
      </w:r>
      <w:r>
        <w:rPr>
          <w:rFonts w:hint="eastAsia"/>
          <w:noProof/>
          <w:rtl/>
        </w:rPr>
        <w:t>تقنيني</w:t>
      </w:r>
    </w:p>
    <w:p w14:paraId="0530CC8F" w14:textId="77777777" w:rsidR="00296ED4" w:rsidRDefault="00296ED4" w:rsidP="00296ED4">
      <w:pPr>
        <w:pStyle w:val="TOC2"/>
        <w:numPr>
          <w:ilvl w:val="1"/>
          <w:numId w:val="10"/>
        </w:numPr>
        <w:spacing w:after="0"/>
        <w:contextualSpacing/>
        <w:rPr>
          <w:rFonts w:eastAsiaTheme="minorEastAsia" w:cstheme="minorBidi"/>
          <w:noProof/>
          <w:szCs w:val="22"/>
          <w:rtl/>
        </w:rPr>
      </w:pPr>
      <w:r>
        <w:rPr>
          <w:rFonts w:hint="eastAsia"/>
          <w:noProof/>
          <w:rtl/>
        </w:rPr>
        <w:t>نظرسنجي</w:t>
      </w:r>
    </w:p>
    <w:p w14:paraId="3C243688" w14:textId="77777777" w:rsidR="00296ED4" w:rsidRDefault="00296ED4" w:rsidP="00465C6A">
      <w:pPr>
        <w:pStyle w:val="TOC2"/>
        <w:numPr>
          <w:ilvl w:val="1"/>
          <w:numId w:val="10"/>
        </w:numPr>
        <w:spacing w:after="0"/>
        <w:contextualSpacing/>
        <w:rPr>
          <w:rFonts w:eastAsiaTheme="minorEastAsia" w:cstheme="minorBidi"/>
          <w:noProof/>
          <w:szCs w:val="22"/>
          <w:rtl/>
        </w:rPr>
      </w:pPr>
      <w:r>
        <w:rPr>
          <w:rFonts w:hint="eastAsia"/>
          <w:noProof/>
          <w:rtl/>
        </w:rPr>
        <w:t>اثرسنجي</w:t>
      </w:r>
    </w:p>
    <w:p w14:paraId="544CDC2B" w14:textId="77777777" w:rsidR="00296ED4" w:rsidRDefault="00296ED4" w:rsidP="00296ED4">
      <w:pPr>
        <w:pStyle w:val="TOC1"/>
        <w:numPr>
          <w:ilvl w:val="0"/>
          <w:numId w:val="10"/>
        </w:numPr>
        <w:rPr>
          <w:rFonts w:eastAsiaTheme="minorEastAsia" w:cstheme="minorBidi"/>
          <w:noProof/>
          <w:szCs w:val="22"/>
          <w:rtl/>
        </w:rPr>
      </w:pPr>
      <w:r>
        <w:rPr>
          <w:rFonts w:hint="eastAsia"/>
          <w:noProof/>
          <w:rtl/>
        </w:rPr>
        <w:t>مطالعات</w:t>
      </w:r>
      <w:r>
        <w:rPr>
          <w:noProof/>
          <w:rtl/>
        </w:rPr>
        <w:t xml:space="preserve"> </w:t>
      </w:r>
      <w:r>
        <w:rPr>
          <w:rFonts w:hint="eastAsia"/>
          <w:noProof/>
          <w:rtl/>
        </w:rPr>
        <w:t>تطبيقي</w:t>
      </w:r>
    </w:p>
    <w:p w14:paraId="23A73284" w14:textId="77777777" w:rsidR="00296ED4" w:rsidRDefault="00296ED4" w:rsidP="00296ED4">
      <w:pPr>
        <w:pStyle w:val="TOC1"/>
        <w:numPr>
          <w:ilvl w:val="0"/>
          <w:numId w:val="10"/>
        </w:numPr>
        <w:rPr>
          <w:rFonts w:eastAsiaTheme="minorEastAsia" w:cstheme="minorBidi"/>
          <w:noProof/>
          <w:szCs w:val="22"/>
          <w:rtl/>
        </w:rPr>
      </w:pPr>
      <w:r>
        <w:rPr>
          <w:rFonts w:hint="eastAsia"/>
          <w:noProof/>
          <w:rtl/>
        </w:rPr>
        <w:t>سامانه‌هاي</w:t>
      </w:r>
      <w:r>
        <w:rPr>
          <w:noProof/>
          <w:rtl/>
        </w:rPr>
        <w:t xml:space="preserve"> </w:t>
      </w:r>
      <w:r>
        <w:rPr>
          <w:rFonts w:hint="eastAsia"/>
          <w:noProof/>
          <w:rtl/>
        </w:rPr>
        <w:t>تقنيني</w:t>
      </w:r>
    </w:p>
    <w:p w14:paraId="6049C413" w14:textId="77777777" w:rsidR="00296ED4" w:rsidRDefault="00296ED4" w:rsidP="00296ED4">
      <w:pPr>
        <w:pStyle w:val="TOC2"/>
        <w:numPr>
          <w:ilvl w:val="1"/>
          <w:numId w:val="10"/>
        </w:numPr>
        <w:spacing w:after="0"/>
        <w:contextualSpacing/>
        <w:rPr>
          <w:rFonts w:eastAsiaTheme="minorEastAsia" w:cstheme="minorBidi"/>
          <w:noProof/>
          <w:szCs w:val="22"/>
          <w:rtl/>
        </w:rPr>
      </w:pPr>
      <w:r>
        <w:rPr>
          <w:rFonts w:hint="eastAsia"/>
          <w:noProof/>
          <w:rtl/>
        </w:rPr>
        <w:t>سامانه</w:t>
      </w:r>
      <w:r>
        <w:rPr>
          <w:noProof/>
          <w:rtl/>
        </w:rPr>
        <w:t xml:space="preserve"> </w:t>
      </w:r>
      <w:r>
        <w:rPr>
          <w:rFonts w:hint="eastAsia"/>
          <w:noProof/>
          <w:rtl/>
        </w:rPr>
        <w:t>چرخه</w:t>
      </w:r>
      <w:r>
        <w:rPr>
          <w:noProof/>
          <w:rtl/>
        </w:rPr>
        <w:t xml:space="preserve"> </w:t>
      </w:r>
      <w:r>
        <w:rPr>
          <w:rFonts w:hint="eastAsia"/>
          <w:noProof/>
          <w:rtl/>
        </w:rPr>
        <w:t>قانونگذاري</w:t>
      </w:r>
    </w:p>
    <w:p w14:paraId="08F3E9BE" w14:textId="77777777" w:rsidR="00296ED4" w:rsidRDefault="00296ED4" w:rsidP="00296ED4">
      <w:pPr>
        <w:pStyle w:val="TOC2"/>
        <w:numPr>
          <w:ilvl w:val="1"/>
          <w:numId w:val="10"/>
        </w:numPr>
        <w:spacing w:after="0"/>
        <w:contextualSpacing/>
        <w:rPr>
          <w:rFonts w:eastAsiaTheme="minorEastAsia" w:cstheme="minorBidi"/>
          <w:noProof/>
          <w:szCs w:val="22"/>
          <w:rtl/>
        </w:rPr>
      </w:pPr>
      <w:r>
        <w:rPr>
          <w:rFonts w:hint="eastAsia"/>
          <w:noProof/>
          <w:rtl/>
        </w:rPr>
        <w:t>سامانه</w:t>
      </w:r>
      <w:r>
        <w:rPr>
          <w:noProof/>
          <w:rtl/>
        </w:rPr>
        <w:t xml:space="preserve"> </w:t>
      </w:r>
      <w:r>
        <w:rPr>
          <w:rFonts w:hint="eastAsia"/>
          <w:noProof/>
          <w:rtl/>
        </w:rPr>
        <w:t>تجزيه</w:t>
      </w:r>
      <w:r>
        <w:rPr>
          <w:noProof/>
          <w:rtl/>
        </w:rPr>
        <w:t xml:space="preserve"> </w:t>
      </w:r>
      <w:r>
        <w:rPr>
          <w:rFonts w:hint="eastAsia"/>
          <w:noProof/>
          <w:rtl/>
        </w:rPr>
        <w:t>و</w:t>
      </w:r>
      <w:r>
        <w:rPr>
          <w:noProof/>
          <w:rtl/>
        </w:rPr>
        <w:t xml:space="preserve"> </w:t>
      </w:r>
      <w:r>
        <w:rPr>
          <w:rFonts w:hint="eastAsia"/>
          <w:noProof/>
          <w:rtl/>
        </w:rPr>
        <w:t>تحليل</w:t>
      </w:r>
      <w:r>
        <w:rPr>
          <w:noProof/>
          <w:rtl/>
        </w:rPr>
        <w:t xml:space="preserve"> </w:t>
      </w:r>
      <w:r>
        <w:rPr>
          <w:rFonts w:hint="eastAsia"/>
          <w:noProof/>
          <w:rtl/>
        </w:rPr>
        <w:t>قوانين</w:t>
      </w:r>
    </w:p>
    <w:p w14:paraId="105AD387" w14:textId="77777777" w:rsidR="00296ED4" w:rsidRDefault="00296ED4" w:rsidP="00296ED4">
      <w:pPr>
        <w:pStyle w:val="TOC2"/>
        <w:spacing w:after="0"/>
        <w:contextualSpacing/>
        <w:rPr>
          <w:rFonts w:eastAsiaTheme="minorEastAsia" w:cstheme="minorBidi"/>
          <w:noProof/>
          <w:szCs w:val="22"/>
          <w:rtl/>
        </w:rPr>
      </w:pPr>
      <w:r>
        <w:rPr>
          <w:rFonts w:hint="eastAsia"/>
          <w:noProof/>
          <w:rtl/>
        </w:rPr>
        <w:t>بانك</w:t>
      </w:r>
      <w:r>
        <w:rPr>
          <w:noProof/>
          <w:rtl/>
        </w:rPr>
        <w:t xml:space="preserve"> </w:t>
      </w:r>
      <w:r>
        <w:rPr>
          <w:rFonts w:hint="eastAsia"/>
          <w:noProof/>
          <w:rtl/>
        </w:rPr>
        <w:t>قوانين</w:t>
      </w:r>
    </w:p>
    <w:p w14:paraId="077189AF" w14:textId="77777777" w:rsidR="00296ED4" w:rsidRDefault="00296ED4" w:rsidP="00296ED4">
      <w:pPr>
        <w:pStyle w:val="TOC2"/>
        <w:spacing w:after="0"/>
        <w:contextualSpacing/>
        <w:rPr>
          <w:rFonts w:eastAsiaTheme="minorEastAsia" w:cstheme="minorBidi"/>
          <w:noProof/>
          <w:szCs w:val="22"/>
          <w:rtl/>
        </w:rPr>
      </w:pPr>
      <w:r>
        <w:rPr>
          <w:rFonts w:hint="eastAsia"/>
          <w:noProof/>
          <w:rtl/>
        </w:rPr>
        <w:t>طبقه‌بندي</w:t>
      </w:r>
    </w:p>
    <w:p w14:paraId="29BBB56C" w14:textId="77777777" w:rsidR="00296ED4" w:rsidRDefault="00296ED4" w:rsidP="00296ED4">
      <w:pPr>
        <w:pStyle w:val="TOC2"/>
        <w:spacing w:after="0"/>
        <w:contextualSpacing/>
        <w:rPr>
          <w:rFonts w:eastAsiaTheme="minorEastAsia" w:cstheme="minorBidi"/>
          <w:noProof/>
          <w:szCs w:val="22"/>
          <w:rtl/>
        </w:rPr>
      </w:pPr>
      <w:r>
        <w:rPr>
          <w:rFonts w:hint="eastAsia"/>
          <w:noProof/>
          <w:rtl/>
        </w:rPr>
        <w:t>كدگذاري</w:t>
      </w:r>
    </w:p>
    <w:p w14:paraId="212BC894" w14:textId="77777777" w:rsidR="00296ED4" w:rsidRDefault="00296ED4" w:rsidP="00296ED4">
      <w:pPr>
        <w:pStyle w:val="TOC2"/>
        <w:spacing w:after="0"/>
        <w:contextualSpacing/>
        <w:rPr>
          <w:rFonts w:eastAsiaTheme="minorEastAsia" w:cstheme="minorBidi"/>
          <w:noProof/>
          <w:szCs w:val="22"/>
          <w:rtl/>
        </w:rPr>
      </w:pPr>
      <w:r>
        <w:rPr>
          <w:rFonts w:hint="eastAsia"/>
          <w:noProof/>
          <w:rtl/>
        </w:rPr>
        <w:t>تنقيح</w:t>
      </w:r>
    </w:p>
    <w:p w14:paraId="27BA8F2A" w14:textId="77777777" w:rsidR="00296ED4" w:rsidRDefault="00296ED4" w:rsidP="00296ED4">
      <w:pPr>
        <w:pStyle w:val="TOC2"/>
        <w:spacing w:after="0"/>
        <w:contextualSpacing/>
        <w:rPr>
          <w:rFonts w:eastAsiaTheme="minorEastAsia" w:cstheme="minorBidi"/>
          <w:noProof/>
          <w:szCs w:val="22"/>
          <w:rtl/>
        </w:rPr>
      </w:pPr>
      <w:r>
        <w:rPr>
          <w:rFonts w:hint="eastAsia"/>
          <w:noProof/>
          <w:rtl/>
        </w:rPr>
        <w:t>قانون</w:t>
      </w:r>
      <w:r>
        <w:rPr>
          <w:noProof/>
          <w:rtl/>
        </w:rPr>
        <w:t xml:space="preserve"> </w:t>
      </w:r>
      <w:r>
        <w:rPr>
          <w:rFonts w:hint="eastAsia"/>
          <w:noProof/>
          <w:rtl/>
        </w:rPr>
        <w:t>جامع</w:t>
      </w:r>
    </w:p>
    <w:p w14:paraId="3B12F6FB" w14:textId="77777777" w:rsidR="00296ED4" w:rsidRDefault="00296ED4" w:rsidP="00296ED4">
      <w:pPr>
        <w:pStyle w:val="TOC2"/>
        <w:numPr>
          <w:ilvl w:val="1"/>
          <w:numId w:val="10"/>
        </w:numPr>
        <w:spacing w:after="0"/>
        <w:contextualSpacing/>
        <w:rPr>
          <w:rFonts w:eastAsiaTheme="minorEastAsia" w:cstheme="minorBidi"/>
          <w:noProof/>
          <w:szCs w:val="22"/>
          <w:rtl/>
        </w:rPr>
      </w:pPr>
      <w:r>
        <w:rPr>
          <w:rFonts w:hint="eastAsia"/>
          <w:noProof/>
          <w:rtl/>
        </w:rPr>
        <w:t>سامانه</w:t>
      </w:r>
      <w:r>
        <w:rPr>
          <w:noProof/>
          <w:rtl/>
        </w:rPr>
        <w:t xml:space="preserve"> </w:t>
      </w:r>
      <w:r>
        <w:rPr>
          <w:rFonts w:hint="eastAsia"/>
          <w:noProof/>
          <w:rtl/>
        </w:rPr>
        <w:t>ابلاغ</w:t>
      </w:r>
      <w:r>
        <w:rPr>
          <w:noProof/>
          <w:rtl/>
        </w:rPr>
        <w:t xml:space="preserve"> </w:t>
      </w:r>
      <w:r>
        <w:rPr>
          <w:rFonts w:hint="eastAsia"/>
          <w:noProof/>
          <w:rtl/>
        </w:rPr>
        <w:t>قانون</w:t>
      </w:r>
    </w:p>
    <w:p w14:paraId="6199C1EA" w14:textId="77777777" w:rsidR="00296ED4" w:rsidRDefault="00296ED4" w:rsidP="00296ED4">
      <w:pPr>
        <w:pStyle w:val="TOC2"/>
        <w:spacing w:after="0"/>
        <w:contextualSpacing/>
        <w:rPr>
          <w:rFonts w:eastAsiaTheme="minorEastAsia" w:cstheme="minorBidi"/>
          <w:noProof/>
          <w:szCs w:val="22"/>
          <w:rtl/>
        </w:rPr>
      </w:pPr>
      <w:r>
        <w:rPr>
          <w:rFonts w:hint="eastAsia"/>
          <w:noProof/>
          <w:rtl/>
        </w:rPr>
        <w:t>تضمين</w:t>
      </w:r>
      <w:r>
        <w:rPr>
          <w:noProof/>
          <w:rtl/>
        </w:rPr>
        <w:t xml:space="preserve"> </w:t>
      </w:r>
      <w:r>
        <w:rPr>
          <w:rFonts w:hint="eastAsia"/>
          <w:noProof/>
          <w:rtl/>
        </w:rPr>
        <w:t>اجراي</w:t>
      </w:r>
      <w:r>
        <w:rPr>
          <w:noProof/>
          <w:rtl/>
        </w:rPr>
        <w:t xml:space="preserve"> </w:t>
      </w:r>
      <w:r>
        <w:rPr>
          <w:rFonts w:hint="eastAsia"/>
          <w:noProof/>
          <w:rtl/>
        </w:rPr>
        <w:t>عادلانه</w:t>
      </w:r>
      <w:r>
        <w:rPr>
          <w:noProof/>
          <w:rtl/>
        </w:rPr>
        <w:t xml:space="preserve"> </w:t>
      </w:r>
      <w:r>
        <w:rPr>
          <w:rFonts w:hint="eastAsia"/>
          <w:noProof/>
          <w:rtl/>
        </w:rPr>
        <w:t>قوانين</w:t>
      </w:r>
    </w:p>
    <w:p w14:paraId="62B119D4" w14:textId="77777777" w:rsidR="00296ED4" w:rsidRDefault="00296ED4" w:rsidP="00296ED4">
      <w:pPr>
        <w:pStyle w:val="TOC2"/>
        <w:spacing w:after="0"/>
        <w:contextualSpacing/>
        <w:rPr>
          <w:rFonts w:eastAsiaTheme="minorEastAsia" w:cstheme="minorBidi"/>
          <w:noProof/>
          <w:szCs w:val="22"/>
          <w:rtl/>
        </w:rPr>
      </w:pPr>
      <w:r>
        <w:rPr>
          <w:rFonts w:hint="eastAsia"/>
          <w:noProof/>
          <w:rtl/>
        </w:rPr>
        <w:t>ابلاغ</w:t>
      </w:r>
      <w:r>
        <w:rPr>
          <w:noProof/>
          <w:rtl/>
        </w:rPr>
        <w:t xml:space="preserve"> </w:t>
      </w:r>
      <w:r>
        <w:rPr>
          <w:rFonts w:hint="eastAsia"/>
          <w:noProof/>
          <w:rtl/>
        </w:rPr>
        <w:t>هوشمند</w:t>
      </w:r>
      <w:r>
        <w:rPr>
          <w:noProof/>
          <w:rtl/>
        </w:rPr>
        <w:t xml:space="preserve"> </w:t>
      </w:r>
      <w:r>
        <w:rPr>
          <w:rFonts w:hint="eastAsia"/>
          <w:noProof/>
          <w:rtl/>
        </w:rPr>
        <w:t>قوانين</w:t>
      </w:r>
    </w:p>
    <w:p w14:paraId="3F38C277" w14:textId="77777777" w:rsidR="00296ED4" w:rsidRDefault="00296ED4" w:rsidP="00296ED4">
      <w:pPr>
        <w:pStyle w:val="TOC1"/>
        <w:numPr>
          <w:ilvl w:val="0"/>
          <w:numId w:val="10"/>
        </w:numPr>
        <w:rPr>
          <w:rFonts w:eastAsiaTheme="minorEastAsia" w:cstheme="minorBidi"/>
          <w:noProof/>
          <w:szCs w:val="22"/>
          <w:rtl/>
        </w:rPr>
      </w:pPr>
      <w:r>
        <w:rPr>
          <w:rFonts w:hint="eastAsia"/>
          <w:noProof/>
          <w:rtl/>
        </w:rPr>
        <w:t>تنقيح</w:t>
      </w:r>
      <w:r>
        <w:rPr>
          <w:noProof/>
          <w:rtl/>
        </w:rPr>
        <w:t xml:space="preserve"> </w:t>
      </w:r>
      <w:r>
        <w:rPr>
          <w:rFonts w:hint="eastAsia"/>
          <w:noProof/>
          <w:rtl/>
        </w:rPr>
        <w:t>قوانين</w:t>
      </w:r>
    </w:p>
    <w:p w14:paraId="7F893102" w14:textId="77777777" w:rsidR="00296ED4" w:rsidRDefault="00296ED4" w:rsidP="00296ED4">
      <w:pPr>
        <w:pStyle w:val="TOC2"/>
        <w:numPr>
          <w:ilvl w:val="1"/>
          <w:numId w:val="10"/>
        </w:numPr>
        <w:spacing w:after="0"/>
        <w:contextualSpacing/>
        <w:rPr>
          <w:rFonts w:eastAsiaTheme="minorEastAsia" w:cstheme="minorBidi"/>
          <w:noProof/>
          <w:szCs w:val="22"/>
          <w:rtl/>
        </w:rPr>
      </w:pPr>
      <w:r>
        <w:rPr>
          <w:rFonts w:hint="eastAsia"/>
          <w:noProof/>
          <w:rtl/>
        </w:rPr>
        <w:t>رتبه‌بندي</w:t>
      </w:r>
      <w:r>
        <w:rPr>
          <w:noProof/>
          <w:rtl/>
        </w:rPr>
        <w:t xml:space="preserve"> </w:t>
      </w:r>
      <w:r>
        <w:rPr>
          <w:rFonts w:hint="eastAsia"/>
          <w:noProof/>
          <w:rtl/>
        </w:rPr>
        <w:t>قوانين</w:t>
      </w:r>
    </w:p>
    <w:p w14:paraId="4D2A1B80" w14:textId="77777777" w:rsidR="00296ED4" w:rsidRDefault="00296ED4" w:rsidP="00296ED4">
      <w:pPr>
        <w:pStyle w:val="TOC2"/>
        <w:numPr>
          <w:ilvl w:val="1"/>
          <w:numId w:val="10"/>
        </w:numPr>
        <w:spacing w:after="0"/>
        <w:contextualSpacing/>
        <w:rPr>
          <w:rFonts w:eastAsiaTheme="minorEastAsia" w:cstheme="minorBidi"/>
          <w:noProof/>
          <w:szCs w:val="22"/>
          <w:rtl/>
        </w:rPr>
      </w:pPr>
      <w:r>
        <w:rPr>
          <w:rFonts w:hint="eastAsia"/>
          <w:noProof/>
          <w:rtl/>
        </w:rPr>
        <w:t>تفاوت</w:t>
      </w:r>
      <w:r>
        <w:rPr>
          <w:noProof/>
          <w:rtl/>
        </w:rPr>
        <w:t xml:space="preserve"> </w:t>
      </w:r>
      <w:r>
        <w:rPr>
          <w:rFonts w:hint="eastAsia"/>
          <w:noProof/>
          <w:rtl/>
        </w:rPr>
        <w:t>تنقيح</w:t>
      </w:r>
      <w:r>
        <w:rPr>
          <w:noProof/>
          <w:rtl/>
        </w:rPr>
        <w:t xml:space="preserve"> </w:t>
      </w:r>
      <w:r>
        <w:rPr>
          <w:rFonts w:hint="eastAsia"/>
          <w:noProof/>
          <w:rtl/>
        </w:rPr>
        <w:t>با</w:t>
      </w:r>
      <w:r>
        <w:rPr>
          <w:noProof/>
          <w:rtl/>
        </w:rPr>
        <w:t xml:space="preserve"> </w:t>
      </w:r>
      <w:r>
        <w:rPr>
          <w:rFonts w:hint="eastAsia"/>
          <w:noProof/>
          <w:rtl/>
        </w:rPr>
        <w:t>تقنين</w:t>
      </w:r>
    </w:p>
    <w:p w14:paraId="636DEE6A" w14:textId="77777777" w:rsidR="00296ED4" w:rsidRDefault="00296ED4" w:rsidP="00296ED4">
      <w:pPr>
        <w:pStyle w:val="TOC2"/>
        <w:numPr>
          <w:ilvl w:val="1"/>
          <w:numId w:val="10"/>
        </w:numPr>
        <w:spacing w:after="0"/>
        <w:contextualSpacing/>
        <w:rPr>
          <w:rFonts w:eastAsiaTheme="minorEastAsia" w:cstheme="minorBidi"/>
          <w:noProof/>
          <w:szCs w:val="22"/>
          <w:rtl/>
        </w:rPr>
      </w:pPr>
      <w:r>
        <w:rPr>
          <w:rFonts w:hint="eastAsia"/>
          <w:noProof/>
          <w:rtl/>
        </w:rPr>
        <w:t>قانون</w:t>
      </w:r>
      <w:r>
        <w:rPr>
          <w:noProof/>
          <w:rtl/>
        </w:rPr>
        <w:t xml:space="preserve"> </w:t>
      </w:r>
      <w:r>
        <w:rPr>
          <w:rFonts w:hint="eastAsia"/>
          <w:noProof/>
          <w:rtl/>
        </w:rPr>
        <w:t>تنقيحي</w:t>
      </w:r>
    </w:p>
    <w:p w14:paraId="0B604E73" w14:textId="77777777" w:rsidR="00296ED4" w:rsidRDefault="00296ED4" w:rsidP="00296ED4">
      <w:pPr>
        <w:pStyle w:val="TOC2"/>
        <w:numPr>
          <w:ilvl w:val="1"/>
          <w:numId w:val="10"/>
        </w:numPr>
        <w:spacing w:after="0"/>
        <w:contextualSpacing/>
        <w:rPr>
          <w:rFonts w:eastAsiaTheme="minorEastAsia" w:cstheme="minorBidi"/>
          <w:noProof/>
          <w:szCs w:val="22"/>
          <w:rtl/>
        </w:rPr>
      </w:pPr>
      <w:r>
        <w:rPr>
          <w:rFonts w:hint="eastAsia"/>
          <w:noProof/>
          <w:rtl/>
        </w:rPr>
        <w:t>نسخ</w:t>
      </w:r>
      <w:r>
        <w:rPr>
          <w:noProof/>
          <w:rtl/>
        </w:rPr>
        <w:t xml:space="preserve"> </w:t>
      </w:r>
      <w:r>
        <w:rPr>
          <w:rFonts w:hint="eastAsia"/>
          <w:noProof/>
          <w:rtl/>
        </w:rPr>
        <w:t>صريح</w:t>
      </w:r>
      <w:r>
        <w:rPr>
          <w:noProof/>
          <w:rtl/>
        </w:rPr>
        <w:t xml:space="preserve"> </w:t>
      </w:r>
      <w:r>
        <w:rPr>
          <w:rFonts w:hint="eastAsia"/>
          <w:noProof/>
          <w:rtl/>
        </w:rPr>
        <w:t>و</w:t>
      </w:r>
      <w:r>
        <w:rPr>
          <w:noProof/>
          <w:rtl/>
        </w:rPr>
        <w:t xml:space="preserve"> </w:t>
      </w:r>
      <w:r>
        <w:rPr>
          <w:rFonts w:hint="eastAsia"/>
          <w:noProof/>
          <w:rtl/>
        </w:rPr>
        <w:t>نسخ</w:t>
      </w:r>
      <w:r>
        <w:rPr>
          <w:noProof/>
          <w:rtl/>
        </w:rPr>
        <w:t xml:space="preserve"> </w:t>
      </w:r>
      <w:r>
        <w:rPr>
          <w:rFonts w:hint="eastAsia"/>
          <w:noProof/>
          <w:rtl/>
        </w:rPr>
        <w:t>ضمني</w:t>
      </w:r>
    </w:p>
    <w:p w14:paraId="08AE4183" w14:textId="77777777" w:rsidR="00296ED4" w:rsidRDefault="00296ED4" w:rsidP="00296ED4">
      <w:pPr>
        <w:pStyle w:val="TOC2"/>
        <w:numPr>
          <w:ilvl w:val="1"/>
          <w:numId w:val="10"/>
        </w:numPr>
        <w:spacing w:after="0"/>
        <w:contextualSpacing/>
        <w:rPr>
          <w:rFonts w:eastAsiaTheme="minorEastAsia" w:cstheme="minorBidi"/>
          <w:noProof/>
          <w:szCs w:val="22"/>
          <w:rtl/>
        </w:rPr>
      </w:pPr>
      <w:r>
        <w:rPr>
          <w:rFonts w:hint="eastAsia"/>
          <w:noProof/>
          <w:rtl/>
        </w:rPr>
        <w:t>كدهاي</w:t>
      </w:r>
      <w:r>
        <w:rPr>
          <w:noProof/>
          <w:rtl/>
        </w:rPr>
        <w:t xml:space="preserve"> </w:t>
      </w:r>
      <w:r>
        <w:rPr>
          <w:rFonts w:hint="eastAsia"/>
          <w:noProof/>
          <w:rtl/>
        </w:rPr>
        <w:t>قوانين</w:t>
      </w:r>
    </w:p>
    <w:p w14:paraId="2013E6C1" w14:textId="77777777" w:rsidR="00296ED4" w:rsidRDefault="00296ED4" w:rsidP="00296ED4">
      <w:pPr>
        <w:pStyle w:val="TOC2"/>
        <w:numPr>
          <w:ilvl w:val="1"/>
          <w:numId w:val="10"/>
        </w:numPr>
        <w:spacing w:after="0"/>
        <w:contextualSpacing/>
        <w:rPr>
          <w:rFonts w:eastAsiaTheme="minorEastAsia" w:cstheme="minorBidi"/>
          <w:noProof/>
          <w:szCs w:val="22"/>
          <w:rtl/>
        </w:rPr>
      </w:pPr>
      <w:r>
        <w:rPr>
          <w:rFonts w:hint="eastAsia"/>
          <w:noProof/>
          <w:rtl/>
        </w:rPr>
        <w:t>اركان</w:t>
      </w:r>
      <w:r>
        <w:rPr>
          <w:noProof/>
          <w:rtl/>
        </w:rPr>
        <w:t xml:space="preserve"> </w:t>
      </w:r>
      <w:r>
        <w:rPr>
          <w:rFonts w:hint="eastAsia"/>
          <w:noProof/>
          <w:rtl/>
        </w:rPr>
        <w:t>تنقيح</w:t>
      </w:r>
    </w:p>
    <w:p w14:paraId="36883B60" w14:textId="77777777" w:rsidR="00296ED4" w:rsidRDefault="00296ED4" w:rsidP="00296ED4">
      <w:pPr>
        <w:pStyle w:val="TOC2"/>
        <w:numPr>
          <w:ilvl w:val="1"/>
          <w:numId w:val="10"/>
        </w:numPr>
        <w:spacing w:after="0"/>
        <w:contextualSpacing/>
        <w:rPr>
          <w:rFonts w:eastAsiaTheme="minorEastAsia" w:cstheme="minorBidi"/>
          <w:noProof/>
          <w:szCs w:val="22"/>
          <w:rtl/>
        </w:rPr>
      </w:pPr>
      <w:r>
        <w:rPr>
          <w:rFonts w:hint="eastAsia"/>
          <w:noProof/>
          <w:rtl/>
        </w:rPr>
        <w:t>تنقيح</w:t>
      </w:r>
      <w:r>
        <w:rPr>
          <w:noProof/>
          <w:rtl/>
        </w:rPr>
        <w:t xml:space="preserve"> </w:t>
      </w:r>
      <w:r>
        <w:rPr>
          <w:rFonts w:hint="eastAsia"/>
          <w:noProof/>
          <w:rtl/>
        </w:rPr>
        <w:t>ايجابي</w:t>
      </w:r>
    </w:p>
    <w:p w14:paraId="235AB3BC" w14:textId="77777777" w:rsidR="00296ED4" w:rsidRDefault="00296ED4" w:rsidP="00296ED4">
      <w:pPr>
        <w:pStyle w:val="TOC2"/>
        <w:numPr>
          <w:ilvl w:val="1"/>
          <w:numId w:val="10"/>
        </w:numPr>
        <w:spacing w:after="0"/>
        <w:contextualSpacing/>
        <w:rPr>
          <w:rFonts w:eastAsiaTheme="minorEastAsia" w:cstheme="minorBidi"/>
          <w:noProof/>
          <w:szCs w:val="22"/>
          <w:rtl/>
        </w:rPr>
      </w:pPr>
      <w:r>
        <w:rPr>
          <w:rFonts w:hint="eastAsia"/>
          <w:noProof/>
          <w:rtl/>
        </w:rPr>
        <w:t>قانون</w:t>
      </w:r>
      <w:r>
        <w:rPr>
          <w:noProof/>
          <w:rtl/>
        </w:rPr>
        <w:t xml:space="preserve"> </w:t>
      </w:r>
      <w:r>
        <w:rPr>
          <w:rFonts w:hint="eastAsia"/>
          <w:noProof/>
          <w:rtl/>
        </w:rPr>
        <w:t>جامع</w:t>
      </w:r>
    </w:p>
    <w:p w14:paraId="69ADEF50" w14:textId="77777777" w:rsidR="00296ED4" w:rsidRDefault="00296ED4" w:rsidP="00296ED4">
      <w:pPr>
        <w:pStyle w:val="TOC2"/>
        <w:numPr>
          <w:ilvl w:val="1"/>
          <w:numId w:val="10"/>
        </w:numPr>
        <w:spacing w:after="0"/>
        <w:contextualSpacing/>
        <w:rPr>
          <w:rFonts w:eastAsiaTheme="minorEastAsia" w:cstheme="minorBidi"/>
          <w:noProof/>
          <w:szCs w:val="22"/>
          <w:rtl/>
        </w:rPr>
      </w:pPr>
      <w:r>
        <w:rPr>
          <w:rFonts w:hint="eastAsia"/>
          <w:noProof/>
          <w:rtl/>
        </w:rPr>
        <w:t>واحد</w:t>
      </w:r>
      <w:r>
        <w:rPr>
          <w:noProof/>
          <w:rtl/>
        </w:rPr>
        <w:t xml:space="preserve"> </w:t>
      </w:r>
      <w:r>
        <w:rPr>
          <w:rFonts w:hint="eastAsia"/>
          <w:noProof/>
          <w:rtl/>
        </w:rPr>
        <w:t>تنقيح</w:t>
      </w:r>
    </w:p>
    <w:p w14:paraId="50C2BCDC" w14:textId="77777777" w:rsidR="00296ED4" w:rsidRDefault="00296ED4" w:rsidP="00296ED4">
      <w:pPr>
        <w:pStyle w:val="TOC2"/>
        <w:numPr>
          <w:ilvl w:val="1"/>
          <w:numId w:val="10"/>
        </w:numPr>
        <w:spacing w:after="0"/>
        <w:contextualSpacing/>
        <w:rPr>
          <w:rFonts w:eastAsiaTheme="minorEastAsia" w:cstheme="minorBidi"/>
          <w:noProof/>
          <w:szCs w:val="22"/>
          <w:rtl/>
        </w:rPr>
      </w:pPr>
      <w:r>
        <w:rPr>
          <w:rFonts w:hint="eastAsia"/>
          <w:noProof/>
          <w:rtl/>
        </w:rPr>
        <w:t>مرجع</w:t>
      </w:r>
      <w:r>
        <w:rPr>
          <w:noProof/>
          <w:rtl/>
        </w:rPr>
        <w:t xml:space="preserve"> </w:t>
      </w:r>
      <w:r>
        <w:rPr>
          <w:rFonts w:hint="eastAsia"/>
          <w:noProof/>
          <w:rtl/>
        </w:rPr>
        <w:t>قوانين</w:t>
      </w:r>
    </w:p>
    <w:p w14:paraId="59D413DE" w14:textId="77777777" w:rsidR="00296ED4" w:rsidRDefault="00296ED4" w:rsidP="00296ED4">
      <w:pPr>
        <w:pStyle w:val="TOC1"/>
        <w:numPr>
          <w:ilvl w:val="0"/>
          <w:numId w:val="10"/>
        </w:numPr>
        <w:rPr>
          <w:rFonts w:eastAsiaTheme="minorEastAsia" w:cstheme="minorBidi"/>
          <w:noProof/>
          <w:szCs w:val="22"/>
          <w:rtl/>
        </w:rPr>
      </w:pPr>
      <w:r>
        <w:rPr>
          <w:rFonts w:hint="eastAsia"/>
          <w:noProof/>
          <w:rtl/>
        </w:rPr>
        <w:t>تهذيب</w:t>
      </w:r>
      <w:r>
        <w:rPr>
          <w:noProof/>
          <w:rtl/>
        </w:rPr>
        <w:t xml:space="preserve"> </w:t>
      </w:r>
      <w:r>
        <w:rPr>
          <w:rFonts w:hint="eastAsia"/>
          <w:noProof/>
          <w:rtl/>
        </w:rPr>
        <w:t>قوانين</w:t>
      </w:r>
    </w:p>
    <w:p w14:paraId="380B2495" w14:textId="77777777" w:rsidR="00296ED4" w:rsidRDefault="00296ED4" w:rsidP="00296ED4">
      <w:pPr>
        <w:pStyle w:val="TOC2"/>
        <w:numPr>
          <w:ilvl w:val="1"/>
          <w:numId w:val="10"/>
        </w:numPr>
        <w:spacing w:after="0"/>
        <w:contextualSpacing/>
        <w:rPr>
          <w:rFonts w:eastAsiaTheme="minorEastAsia" w:cstheme="minorBidi"/>
          <w:noProof/>
          <w:szCs w:val="22"/>
          <w:rtl/>
        </w:rPr>
      </w:pPr>
      <w:r>
        <w:rPr>
          <w:rFonts w:hint="eastAsia"/>
          <w:noProof/>
          <w:rtl/>
        </w:rPr>
        <w:t>روند</w:t>
      </w:r>
      <w:r>
        <w:rPr>
          <w:noProof/>
          <w:rtl/>
        </w:rPr>
        <w:t xml:space="preserve"> </w:t>
      </w:r>
      <w:r>
        <w:rPr>
          <w:rFonts w:hint="eastAsia"/>
          <w:noProof/>
          <w:rtl/>
        </w:rPr>
        <w:t>تهذيب</w:t>
      </w:r>
    </w:p>
    <w:p w14:paraId="1E87486A" w14:textId="77777777" w:rsidR="00296ED4" w:rsidRDefault="00296ED4" w:rsidP="00296ED4">
      <w:pPr>
        <w:pStyle w:val="TOC2"/>
        <w:numPr>
          <w:ilvl w:val="1"/>
          <w:numId w:val="10"/>
        </w:numPr>
        <w:spacing w:after="0"/>
        <w:contextualSpacing/>
        <w:rPr>
          <w:rFonts w:eastAsiaTheme="minorEastAsia" w:cstheme="minorBidi"/>
          <w:noProof/>
          <w:szCs w:val="22"/>
          <w:rtl/>
        </w:rPr>
      </w:pPr>
      <w:r>
        <w:rPr>
          <w:rFonts w:hint="eastAsia"/>
          <w:noProof/>
          <w:rtl/>
        </w:rPr>
        <w:t>اصول</w:t>
      </w:r>
      <w:r>
        <w:rPr>
          <w:noProof/>
          <w:rtl/>
        </w:rPr>
        <w:t xml:space="preserve"> </w:t>
      </w:r>
      <w:r>
        <w:rPr>
          <w:rFonts w:hint="eastAsia"/>
          <w:noProof/>
          <w:rtl/>
        </w:rPr>
        <w:t>تهذيب</w:t>
      </w:r>
    </w:p>
    <w:p w14:paraId="19515FEE" w14:textId="456B0331" w:rsidR="00793BA9" w:rsidRDefault="00793BA9" w:rsidP="004118F5">
      <w:pPr>
        <w:spacing w:after="0"/>
        <w:contextualSpacing/>
        <w:jc w:val="left"/>
        <w:rPr>
          <w:rtl/>
        </w:rPr>
        <w:sectPr w:rsidR="00793BA9" w:rsidSect="004118F5">
          <w:type w:val="continuous"/>
          <w:pgSz w:w="11906" w:h="16838" w:code="9"/>
          <w:pgMar w:top="851" w:right="851" w:bottom="851" w:left="851" w:header="709" w:footer="709" w:gutter="284"/>
          <w:cols w:num="2" w:sep="1" w:space="284"/>
          <w:titlePg/>
          <w:bidi/>
          <w:rtlGutter/>
          <w:docGrid w:linePitch="360"/>
        </w:sectPr>
      </w:pPr>
      <w:r>
        <w:rPr>
          <w:rtl/>
        </w:rPr>
        <w:fldChar w:fldCharType="end"/>
      </w:r>
    </w:p>
    <w:p w14:paraId="12A3D4B5" w14:textId="77777777" w:rsidR="004605F6" w:rsidRPr="004605F6" w:rsidRDefault="004605F6" w:rsidP="0027686E">
      <w:pPr>
        <w:pStyle w:val="Heading1"/>
      </w:pPr>
    </w:p>
    <w:sectPr w:rsidR="004605F6" w:rsidRPr="004605F6" w:rsidSect="00793BA9">
      <w:type w:val="continuous"/>
      <w:pgSz w:w="11906" w:h="16838" w:code="9"/>
      <w:pgMar w:top="851" w:right="851" w:bottom="851" w:left="851" w:header="709" w:footer="709" w:gutter="284"/>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4C3D9D" w14:textId="77777777" w:rsidR="009D315B" w:rsidRDefault="009D315B" w:rsidP="00024D73">
      <w:pPr>
        <w:spacing w:after="0" w:line="240" w:lineRule="auto"/>
      </w:pPr>
      <w:r>
        <w:separator/>
      </w:r>
    </w:p>
  </w:endnote>
  <w:endnote w:type="continuationSeparator" w:id="0">
    <w:p w14:paraId="5DA0FB80" w14:textId="77777777" w:rsidR="009D315B" w:rsidRDefault="009D315B" w:rsidP="00024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Lotus">
    <w:panose1 w:val="00000400000000000000"/>
    <w:charset w:val="B2"/>
    <w:family w:val="auto"/>
    <w:pitch w:val="variable"/>
    <w:sig w:usb0="00002001" w:usb1="00000000" w:usb2="00000000" w:usb3="00000000" w:csb0="00000040" w:csb1="00000000"/>
  </w:font>
  <w:font w:name="Vazir YA">
    <w:panose1 w:val="020B0503030804020204"/>
    <w:charset w:val="00"/>
    <w:family w:val="swiss"/>
    <w:pitch w:val="variable"/>
    <w:sig w:usb0="800020E3" w:usb1="D000205B" w:usb2="0000002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Zar">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Vazir Black">
    <w:panose1 w:val="020B0603030804020204"/>
    <w:charset w:val="00"/>
    <w:family w:val="swiss"/>
    <w:pitch w:val="variable"/>
    <w:sig w:usb0="80002003" w:usb1="80000000" w:usb2="00000008" w:usb3="00000000" w:csb0="00000041" w:csb1="00000000"/>
  </w:font>
  <w:font w:name="Vahid">
    <w:panose1 w:val="00000400000000000000"/>
    <w:charset w:val="B2"/>
    <w:family w:val="auto"/>
    <w:pitch w:val="variable"/>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Vazir FD">
    <w:panose1 w:val="020B0603030804020204"/>
    <w:charset w:val="00"/>
    <w:family w:val="swiss"/>
    <w:pitch w:val="variable"/>
    <w:sig w:usb0="80002003" w:usb1="80000000" w:usb2="00000008" w:usb3="00000000" w:csb0="00000041" w:csb1="00000000"/>
  </w:font>
  <w:font w:name="Tunga">
    <w:panose1 w:val="020B0502040204020203"/>
    <w:charset w:val="00"/>
    <w:family w:val="swiss"/>
    <w:pitch w:val="variable"/>
    <w:sig w:usb0="004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1B15C" w14:textId="77777777" w:rsidR="00051965" w:rsidRPr="0069700C" w:rsidRDefault="00051965" w:rsidP="00024D73">
    <w:pPr>
      <w:pStyle w:val="Footer"/>
      <w:ind w:firstLine="0"/>
      <w:jc w:val="center"/>
      <w:rPr>
        <w:rFonts w:ascii="Vazir FD" w:hAnsi="Vazir FD" w:cs="Vazir FD"/>
        <w:sz w:val="28"/>
        <w:szCs w:val="36"/>
        <w:rtl/>
      </w:rPr>
    </w:pPr>
    <w:r w:rsidRPr="0069700C">
      <w:rPr>
        <w:rFonts w:ascii="Vazir FD" w:hAnsi="Vazir FD" w:cs="Vazir FD"/>
        <w:noProof/>
        <w:sz w:val="28"/>
        <w:szCs w:val="36"/>
        <w:rtl/>
      </w:rPr>
      <w:drawing>
        <wp:anchor distT="0" distB="0" distL="114300" distR="114300" simplePos="0" relativeHeight="251659264" behindDoc="1" locked="0" layoutInCell="1" allowOverlap="1" wp14:anchorId="531815A3" wp14:editId="5E030041">
          <wp:simplePos x="0" y="0"/>
          <wp:positionH relativeFrom="column">
            <wp:posOffset>-300990</wp:posOffset>
          </wp:positionH>
          <wp:positionV relativeFrom="paragraph">
            <wp:posOffset>-1338209</wp:posOffset>
          </wp:positionV>
          <wp:extent cx="712470" cy="1540510"/>
          <wp:effectExtent l="19050" t="0" r="11430" b="5930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png"/>
                  <pic:cNvPicPr/>
                </pic:nvPicPr>
                <pic:blipFill>
                  <a:blip r:embed="rId1" cstate="print">
                    <a:duotone>
                      <a:schemeClr val="accent6">
                        <a:shade val="45000"/>
                        <a:satMod val="135000"/>
                      </a:schemeClr>
                      <a:prstClr val="white"/>
                    </a:duotone>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12470" cy="1540510"/>
                  </a:xfrm>
                  <a:prstGeom prst="rect">
                    <a:avLst/>
                  </a:prstGeom>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sidRPr="0069700C">
      <w:rPr>
        <w:rFonts w:ascii="Vazir FD" w:hAnsi="Vazir FD" w:cs="Vazir FD"/>
        <w:sz w:val="28"/>
        <w:szCs w:val="36"/>
        <w:rtl/>
      </w:rPr>
      <w:fldChar w:fldCharType="begin"/>
    </w:r>
    <w:r w:rsidRPr="0069700C">
      <w:rPr>
        <w:rFonts w:ascii="Vazir FD" w:hAnsi="Vazir FD" w:cs="Vazir FD"/>
        <w:sz w:val="28"/>
        <w:szCs w:val="36"/>
        <w:rtl/>
      </w:rPr>
      <w:instrText xml:space="preserve"> </w:instrText>
    </w:r>
    <w:r w:rsidRPr="0069700C">
      <w:rPr>
        <w:rFonts w:ascii="Vazir FD" w:hAnsi="Vazir FD" w:cs="Vazir FD"/>
        <w:sz w:val="28"/>
        <w:szCs w:val="36"/>
      </w:rPr>
      <w:instrText>PAGE  \* Arabic</w:instrText>
    </w:r>
    <w:r w:rsidRPr="0069700C">
      <w:rPr>
        <w:rFonts w:ascii="Vazir FD" w:hAnsi="Vazir FD" w:cs="Vazir FD"/>
        <w:sz w:val="28"/>
        <w:szCs w:val="36"/>
        <w:rtl/>
      </w:rPr>
      <w:instrText xml:space="preserve"> </w:instrText>
    </w:r>
    <w:r w:rsidRPr="0069700C">
      <w:rPr>
        <w:rFonts w:ascii="Vazir FD" w:hAnsi="Vazir FD" w:cs="Vazir FD"/>
        <w:sz w:val="28"/>
        <w:szCs w:val="36"/>
        <w:rtl/>
      </w:rPr>
      <w:fldChar w:fldCharType="separate"/>
    </w:r>
    <w:r w:rsidRPr="0069700C">
      <w:rPr>
        <w:rFonts w:ascii="Vazir FD" w:hAnsi="Vazir FD" w:cs="Vazir FD"/>
        <w:noProof/>
        <w:sz w:val="28"/>
        <w:szCs w:val="36"/>
        <w:rtl/>
      </w:rPr>
      <w:t>2</w:t>
    </w:r>
    <w:r w:rsidRPr="0069700C">
      <w:rPr>
        <w:rFonts w:ascii="Vazir FD" w:hAnsi="Vazir FD" w:cs="Vazir FD"/>
        <w:sz w:val="28"/>
        <w:szCs w:val="36"/>
        <w:rt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7ECC4" w14:textId="636DB7AC" w:rsidR="00051965" w:rsidRPr="004522E2" w:rsidRDefault="00051965" w:rsidP="004522E2">
    <w:pPr>
      <w:pStyle w:val="Footer"/>
      <w:bidi w:val="0"/>
      <w:ind w:firstLine="0"/>
      <w:rPr>
        <w:rFonts w:ascii="Tunga" w:hAnsi="Tunga" w:cs="Tunga"/>
        <w:sz w:val="16"/>
        <w:szCs w:val="16"/>
      </w:rPr>
    </w:pPr>
    <w:r>
      <w:rPr>
        <w:rFonts w:ascii="Tunga" w:hAnsi="Tunga" w:cs="Tunga"/>
        <w:sz w:val="16"/>
        <w:szCs w:val="16"/>
      </w:rPr>
      <w:fldChar w:fldCharType="begin"/>
    </w:r>
    <w:r>
      <w:rPr>
        <w:rFonts w:ascii="Tunga" w:hAnsi="Tunga" w:cs="Tunga"/>
        <w:sz w:val="16"/>
        <w:szCs w:val="16"/>
      </w:rPr>
      <w:instrText xml:space="preserve"> FILENAME  \* Caps </w:instrText>
    </w:r>
    <w:r>
      <w:rPr>
        <w:rFonts w:ascii="Tunga" w:hAnsi="Tunga" w:cs="Tunga"/>
        <w:sz w:val="16"/>
        <w:szCs w:val="16"/>
      </w:rPr>
      <w:fldChar w:fldCharType="separate"/>
    </w:r>
    <w:r w:rsidR="00EB30E8">
      <w:rPr>
        <w:rFonts w:ascii="Tunga" w:hAnsi="Tunga" w:cs="Tunga"/>
        <w:noProof/>
        <w:sz w:val="16"/>
        <w:szCs w:val="16"/>
      </w:rPr>
      <w:t>Mrahl-Ganvngzary-Dktr-Movashah-Works.Docx</w:t>
    </w:r>
    <w:r>
      <w:rPr>
        <w:rFonts w:ascii="Tunga" w:hAnsi="Tunga" w:cs="Tung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599882" w14:textId="77777777" w:rsidR="009D315B" w:rsidRDefault="009D315B" w:rsidP="0032771C">
      <w:pPr>
        <w:spacing w:after="0" w:line="240" w:lineRule="auto"/>
        <w:ind w:firstLine="0"/>
      </w:pPr>
      <w:r>
        <w:separator/>
      </w:r>
    </w:p>
  </w:footnote>
  <w:footnote w:type="continuationSeparator" w:id="0">
    <w:p w14:paraId="10B205B9" w14:textId="77777777" w:rsidR="009D315B" w:rsidRDefault="009D315B" w:rsidP="0032771C">
      <w:pPr>
        <w:spacing w:after="0" w:line="240" w:lineRule="auto"/>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B6106" w14:textId="77777777" w:rsidR="00051965" w:rsidRPr="00AF0164" w:rsidRDefault="00051965" w:rsidP="001843B4">
    <w:pPr>
      <w:pStyle w:val="Header"/>
      <w:ind w:firstLine="0"/>
      <w:jc w:val="center"/>
      <w:rPr>
        <w:sz w:val="14"/>
        <w:szCs w:val="20"/>
      </w:rPr>
    </w:pPr>
  </w:p>
  <w:p w14:paraId="2965D130" w14:textId="77777777" w:rsidR="00051965" w:rsidRDefault="00051965" w:rsidP="001843B4">
    <w:pPr>
      <w:pStyle w:val="Header"/>
      <w:ind w:firstLine="0"/>
      <w:jc w:val="center"/>
    </w:pPr>
    <w:r>
      <w:rPr>
        <w:noProof/>
      </w:rPr>
      <w:drawing>
        <wp:inline distT="0" distB="0" distL="0" distR="0" wp14:anchorId="342DA8FD" wp14:editId="56B8B08D">
          <wp:extent cx="580133" cy="409575"/>
          <wp:effectExtent l="38100" t="38100" r="86995" b="857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aam-e-khoda.png"/>
                  <pic:cNvPicPr/>
                </pic:nvPicPr>
                <pic:blipFill>
                  <a:blip r:embed="rId1">
                    <a:extLst>
                      <a:ext uri="{28A0092B-C50C-407E-A947-70E740481C1C}">
                        <a14:useLocalDpi xmlns:a14="http://schemas.microsoft.com/office/drawing/2010/main" val="0"/>
                      </a:ext>
                    </a:extLst>
                  </a:blip>
                  <a:stretch>
                    <a:fillRect/>
                  </a:stretch>
                </pic:blipFill>
                <pic:spPr>
                  <a:xfrm>
                    <a:off x="0" y="0"/>
                    <a:ext cx="588627" cy="415572"/>
                  </a:xfrm>
                  <a:prstGeom prst="rect">
                    <a:avLst/>
                  </a:prstGeom>
                  <a:effectLst>
                    <a:outerShdw blurRad="50800" dist="38100" dir="2700000" algn="tl" rotWithShape="0">
                      <a:srgbClr val="FFC000"/>
                    </a:outerShdw>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96829"/>
    <w:multiLevelType w:val="hybridMultilevel"/>
    <w:tmpl w:val="62967826"/>
    <w:lvl w:ilvl="0" w:tplc="80B2CE2E">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 w15:restartNumberingAfterBreak="0">
    <w:nsid w:val="07742EC4"/>
    <w:multiLevelType w:val="hybridMultilevel"/>
    <w:tmpl w:val="A33A8E3E"/>
    <w:lvl w:ilvl="0" w:tplc="408EDDE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 w15:restartNumberingAfterBreak="0">
    <w:nsid w:val="0FFA1A2E"/>
    <w:multiLevelType w:val="hybridMultilevel"/>
    <w:tmpl w:val="CDB667EA"/>
    <w:lvl w:ilvl="0" w:tplc="740EA64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 w15:restartNumberingAfterBreak="0">
    <w:nsid w:val="117A2ED2"/>
    <w:multiLevelType w:val="hybridMultilevel"/>
    <w:tmpl w:val="45EE0C14"/>
    <w:lvl w:ilvl="0" w:tplc="7DF0ED1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4" w15:restartNumberingAfterBreak="0">
    <w:nsid w:val="145959B7"/>
    <w:multiLevelType w:val="hybridMultilevel"/>
    <w:tmpl w:val="3B9E90EE"/>
    <w:lvl w:ilvl="0" w:tplc="84C603B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5" w15:restartNumberingAfterBreak="0">
    <w:nsid w:val="160C0C49"/>
    <w:multiLevelType w:val="hybridMultilevel"/>
    <w:tmpl w:val="C81EBDAC"/>
    <w:lvl w:ilvl="0" w:tplc="142E9AF2">
      <w:start w:val="1"/>
      <w:numFmt w:val="decimal"/>
      <w:lvlText w:val="%1."/>
      <w:lvlJc w:val="left"/>
      <w:pPr>
        <w:ind w:left="1117" w:hanging="360"/>
      </w:pPr>
      <w:rPr>
        <w:rFonts w:ascii="Lotus" w:hAnsi="Lotus" w:cs="Lotus" w:hint="default"/>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6" w15:restartNumberingAfterBreak="0">
    <w:nsid w:val="37B37B8C"/>
    <w:multiLevelType w:val="multilevel"/>
    <w:tmpl w:val="22186A94"/>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pStyle w:val="TOC2"/>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84E56D9"/>
    <w:multiLevelType w:val="hybridMultilevel"/>
    <w:tmpl w:val="9632672E"/>
    <w:lvl w:ilvl="0" w:tplc="BB88C28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8" w15:restartNumberingAfterBreak="0">
    <w:nsid w:val="4FE833BA"/>
    <w:multiLevelType w:val="hybridMultilevel"/>
    <w:tmpl w:val="7B4A5B34"/>
    <w:lvl w:ilvl="0" w:tplc="149CE2AC">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9" w15:restartNumberingAfterBreak="0">
    <w:nsid w:val="75B455FE"/>
    <w:multiLevelType w:val="multilevel"/>
    <w:tmpl w:val="79845B7E"/>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pStyle w:val="TOC1"/>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
  </w:num>
  <w:num w:numId="2">
    <w:abstractNumId w:val="1"/>
  </w:num>
  <w:num w:numId="3">
    <w:abstractNumId w:val="9"/>
  </w:num>
  <w:num w:numId="4">
    <w:abstractNumId w:val="8"/>
  </w:num>
  <w:num w:numId="5">
    <w:abstractNumId w:val="7"/>
  </w:num>
  <w:num w:numId="6">
    <w:abstractNumId w:val="2"/>
  </w:num>
  <w:num w:numId="7">
    <w:abstractNumId w:val="0"/>
  </w:num>
  <w:num w:numId="8">
    <w:abstractNumId w:val="3"/>
  </w:num>
  <w:num w:numId="9">
    <w:abstractNumId w:val="4"/>
  </w:num>
  <w:num w:numId="10">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14"/>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3EB"/>
    <w:rsid w:val="00000ADD"/>
    <w:rsid w:val="00007BA7"/>
    <w:rsid w:val="00007FC6"/>
    <w:rsid w:val="000111BD"/>
    <w:rsid w:val="0001168D"/>
    <w:rsid w:val="00011D5C"/>
    <w:rsid w:val="00012240"/>
    <w:rsid w:val="000142E1"/>
    <w:rsid w:val="00022CDC"/>
    <w:rsid w:val="00024D73"/>
    <w:rsid w:val="00040AA7"/>
    <w:rsid w:val="00041656"/>
    <w:rsid w:val="00043A29"/>
    <w:rsid w:val="00051965"/>
    <w:rsid w:val="00063A0A"/>
    <w:rsid w:val="000652A9"/>
    <w:rsid w:val="00066E23"/>
    <w:rsid w:val="00071A9B"/>
    <w:rsid w:val="00076387"/>
    <w:rsid w:val="00076656"/>
    <w:rsid w:val="00083C4B"/>
    <w:rsid w:val="000A5C88"/>
    <w:rsid w:val="000A5D89"/>
    <w:rsid w:val="000B6E36"/>
    <w:rsid w:val="000E42A6"/>
    <w:rsid w:val="000E5A2E"/>
    <w:rsid w:val="000F28F4"/>
    <w:rsid w:val="000F3777"/>
    <w:rsid w:val="000F429F"/>
    <w:rsid w:val="00101DF4"/>
    <w:rsid w:val="0010216C"/>
    <w:rsid w:val="0010570E"/>
    <w:rsid w:val="0011280B"/>
    <w:rsid w:val="00125271"/>
    <w:rsid w:val="001254BB"/>
    <w:rsid w:val="00125841"/>
    <w:rsid w:val="0012599A"/>
    <w:rsid w:val="00134417"/>
    <w:rsid w:val="00135277"/>
    <w:rsid w:val="001424D6"/>
    <w:rsid w:val="001433D6"/>
    <w:rsid w:val="00147FC0"/>
    <w:rsid w:val="00150689"/>
    <w:rsid w:val="00150E05"/>
    <w:rsid w:val="00151AE1"/>
    <w:rsid w:val="0015710D"/>
    <w:rsid w:val="001604D5"/>
    <w:rsid w:val="001742CC"/>
    <w:rsid w:val="0017498A"/>
    <w:rsid w:val="00175E3F"/>
    <w:rsid w:val="001766AD"/>
    <w:rsid w:val="001843B4"/>
    <w:rsid w:val="00185DCE"/>
    <w:rsid w:val="00186B21"/>
    <w:rsid w:val="00186E2C"/>
    <w:rsid w:val="00187DC7"/>
    <w:rsid w:val="00192FA7"/>
    <w:rsid w:val="001A3BA3"/>
    <w:rsid w:val="001A5AC6"/>
    <w:rsid w:val="001B337C"/>
    <w:rsid w:val="001B3638"/>
    <w:rsid w:val="001B5967"/>
    <w:rsid w:val="001C3B01"/>
    <w:rsid w:val="001C56B5"/>
    <w:rsid w:val="001D56A4"/>
    <w:rsid w:val="001D618A"/>
    <w:rsid w:val="001D64D6"/>
    <w:rsid w:val="001E433D"/>
    <w:rsid w:val="001E4F9A"/>
    <w:rsid w:val="001E6DDE"/>
    <w:rsid w:val="001F1F07"/>
    <w:rsid w:val="001F4FB6"/>
    <w:rsid w:val="001F6B71"/>
    <w:rsid w:val="001F77A3"/>
    <w:rsid w:val="00204C2F"/>
    <w:rsid w:val="0021559D"/>
    <w:rsid w:val="00217C8B"/>
    <w:rsid w:val="00222A54"/>
    <w:rsid w:val="0022589C"/>
    <w:rsid w:val="00226657"/>
    <w:rsid w:val="00234B7D"/>
    <w:rsid w:val="00243A4E"/>
    <w:rsid w:val="00243BC2"/>
    <w:rsid w:val="0025375C"/>
    <w:rsid w:val="002543B2"/>
    <w:rsid w:val="002606E8"/>
    <w:rsid w:val="00261DD5"/>
    <w:rsid w:val="00263EF8"/>
    <w:rsid w:val="0027100D"/>
    <w:rsid w:val="00274ED3"/>
    <w:rsid w:val="00274F26"/>
    <w:rsid w:val="0027686E"/>
    <w:rsid w:val="002811DC"/>
    <w:rsid w:val="00281F49"/>
    <w:rsid w:val="00291B1F"/>
    <w:rsid w:val="00294874"/>
    <w:rsid w:val="00296ED4"/>
    <w:rsid w:val="002A008B"/>
    <w:rsid w:val="002A5E6B"/>
    <w:rsid w:val="002A7C8C"/>
    <w:rsid w:val="002B0078"/>
    <w:rsid w:val="002B0ECB"/>
    <w:rsid w:val="002B2413"/>
    <w:rsid w:val="002B6F70"/>
    <w:rsid w:val="002C3913"/>
    <w:rsid w:val="002C3CF3"/>
    <w:rsid w:val="002C5590"/>
    <w:rsid w:val="002D6A1F"/>
    <w:rsid w:val="002E07AC"/>
    <w:rsid w:val="002E54E2"/>
    <w:rsid w:val="003016EF"/>
    <w:rsid w:val="00306794"/>
    <w:rsid w:val="003106A2"/>
    <w:rsid w:val="00322A87"/>
    <w:rsid w:val="003244AE"/>
    <w:rsid w:val="0032458F"/>
    <w:rsid w:val="0032771C"/>
    <w:rsid w:val="00334443"/>
    <w:rsid w:val="00337A8B"/>
    <w:rsid w:val="00340335"/>
    <w:rsid w:val="003413D8"/>
    <w:rsid w:val="00342E0E"/>
    <w:rsid w:val="00346D73"/>
    <w:rsid w:val="0034744E"/>
    <w:rsid w:val="003513D5"/>
    <w:rsid w:val="00366907"/>
    <w:rsid w:val="0037295B"/>
    <w:rsid w:val="00375122"/>
    <w:rsid w:val="003779EC"/>
    <w:rsid w:val="0038264F"/>
    <w:rsid w:val="003876E1"/>
    <w:rsid w:val="00391551"/>
    <w:rsid w:val="00395208"/>
    <w:rsid w:val="003B5D24"/>
    <w:rsid w:val="003C07FC"/>
    <w:rsid w:val="003C5537"/>
    <w:rsid w:val="003C6C64"/>
    <w:rsid w:val="003E0BC2"/>
    <w:rsid w:val="003F2473"/>
    <w:rsid w:val="003F611D"/>
    <w:rsid w:val="003F785B"/>
    <w:rsid w:val="00402249"/>
    <w:rsid w:val="004118F5"/>
    <w:rsid w:val="00415BD5"/>
    <w:rsid w:val="0042168C"/>
    <w:rsid w:val="004260D2"/>
    <w:rsid w:val="00431E48"/>
    <w:rsid w:val="00442374"/>
    <w:rsid w:val="00446D68"/>
    <w:rsid w:val="004505BE"/>
    <w:rsid w:val="004522E2"/>
    <w:rsid w:val="004527E0"/>
    <w:rsid w:val="004537CC"/>
    <w:rsid w:val="004558BD"/>
    <w:rsid w:val="004564B9"/>
    <w:rsid w:val="004605F6"/>
    <w:rsid w:val="00465C6A"/>
    <w:rsid w:val="00467933"/>
    <w:rsid w:val="00470570"/>
    <w:rsid w:val="00476DCD"/>
    <w:rsid w:val="00486184"/>
    <w:rsid w:val="00490568"/>
    <w:rsid w:val="00495475"/>
    <w:rsid w:val="00496A71"/>
    <w:rsid w:val="004A015D"/>
    <w:rsid w:val="004A0A1D"/>
    <w:rsid w:val="004A1126"/>
    <w:rsid w:val="004A3FA4"/>
    <w:rsid w:val="004A5217"/>
    <w:rsid w:val="004A5265"/>
    <w:rsid w:val="004A73C2"/>
    <w:rsid w:val="004A7A2D"/>
    <w:rsid w:val="004A7D02"/>
    <w:rsid w:val="004B7F3A"/>
    <w:rsid w:val="004C330F"/>
    <w:rsid w:val="004D5F1B"/>
    <w:rsid w:val="004E3A05"/>
    <w:rsid w:val="004E4AA9"/>
    <w:rsid w:val="004E549D"/>
    <w:rsid w:val="004F2972"/>
    <w:rsid w:val="004F3571"/>
    <w:rsid w:val="004F4160"/>
    <w:rsid w:val="005043F6"/>
    <w:rsid w:val="0050677D"/>
    <w:rsid w:val="00510056"/>
    <w:rsid w:val="005103C4"/>
    <w:rsid w:val="00520A6D"/>
    <w:rsid w:val="00527DEE"/>
    <w:rsid w:val="0053229C"/>
    <w:rsid w:val="00542239"/>
    <w:rsid w:val="00552140"/>
    <w:rsid w:val="005531AD"/>
    <w:rsid w:val="0055361C"/>
    <w:rsid w:val="005613EB"/>
    <w:rsid w:val="005713CF"/>
    <w:rsid w:val="005719E0"/>
    <w:rsid w:val="005748F1"/>
    <w:rsid w:val="00576ED0"/>
    <w:rsid w:val="00580FA4"/>
    <w:rsid w:val="00584632"/>
    <w:rsid w:val="005932A9"/>
    <w:rsid w:val="00595628"/>
    <w:rsid w:val="005A2912"/>
    <w:rsid w:val="005A5415"/>
    <w:rsid w:val="005B02CF"/>
    <w:rsid w:val="005B1ECB"/>
    <w:rsid w:val="005B25AD"/>
    <w:rsid w:val="005B33A5"/>
    <w:rsid w:val="005B395E"/>
    <w:rsid w:val="005B3B33"/>
    <w:rsid w:val="005C443F"/>
    <w:rsid w:val="005C65A8"/>
    <w:rsid w:val="005D26D0"/>
    <w:rsid w:val="005D2719"/>
    <w:rsid w:val="005D2DD7"/>
    <w:rsid w:val="005D5108"/>
    <w:rsid w:val="005D5461"/>
    <w:rsid w:val="005E3647"/>
    <w:rsid w:val="005E45FC"/>
    <w:rsid w:val="005E5489"/>
    <w:rsid w:val="005F311B"/>
    <w:rsid w:val="005F3446"/>
    <w:rsid w:val="005F37AA"/>
    <w:rsid w:val="006050C5"/>
    <w:rsid w:val="006151E5"/>
    <w:rsid w:val="00616E48"/>
    <w:rsid w:val="00620F50"/>
    <w:rsid w:val="006248F6"/>
    <w:rsid w:val="006263B6"/>
    <w:rsid w:val="00626B1B"/>
    <w:rsid w:val="00642D66"/>
    <w:rsid w:val="006448A1"/>
    <w:rsid w:val="00644902"/>
    <w:rsid w:val="00652790"/>
    <w:rsid w:val="00656D77"/>
    <w:rsid w:val="00663B5D"/>
    <w:rsid w:val="00664556"/>
    <w:rsid w:val="0066593C"/>
    <w:rsid w:val="00671330"/>
    <w:rsid w:val="00672B4F"/>
    <w:rsid w:val="00673F67"/>
    <w:rsid w:val="00676219"/>
    <w:rsid w:val="00685EA1"/>
    <w:rsid w:val="00687A46"/>
    <w:rsid w:val="0069052B"/>
    <w:rsid w:val="00694091"/>
    <w:rsid w:val="00696E2B"/>
    <w:rsid w:val="0069700C"/>
    <w:rsid w:val="006A043E"/>
    <w:rsid w:val="006B0665"/>
    <w:rsid w:val="006B24A1"/>
    <w:rsid w:val="006C5FDB"/>
    <w:rsid w:val="006E111A"/>
    <w:rsid w:val="006F0485"/>
    <w:rsid w:val="006F2F4A"/>
    <w:rsid w:val="007013BC"/>
    <w:rsid w:val="007018CC"/>
    <w:rsid w:val="0070434A"/>
    <w:rsid w:val="00713E2F"/>
    <w:rsid w:val="00721E5E"/>
    <w:rsid w:val="00724397"/>
    <w:rsid w:val="007273E7"/>
    <w:rsid w:val="00727FAB"/>
    <w:rsid w:val="00740925"/>
    <w:rsid w:val="0074197C"/>
    <w:rsid w:val="00750F65"/>
    <w:rsid w:val="007618D8"/>
    <w:rsid w:val="007649DD"/>
    <w:rsid w:val="00767850"/>
    <w:rsid w:val="00770786"/>
    <w:rsid w:val="00780342"/>
    <w:rsid w:val="00784639"/>
    <w:rsid w:val="00793963"/>
    <w:rsid w:val="00793BA9"/>
    <w:rsid w:val="007942F6"/>
    <w:rsid w:val="00794FB6"/>
    <w:rsid w:val="007A1929"/>
    <w:rsid w:val="007A5BAD"/>
    <w:rsid w:val="007A673A"/>
    <w:rsid w:val="007B22E9"/>
    <w:rsid w:val="007B236C"/>
    <w:rsid w:val="007B7211"/>
    <w:rsid w:val="007C496F"/>
    <w:rsid w:val="007D3B79"/>
    <w:rsid w:val="007E1CE0"/>
    <w:rsid w:val="007F399B"/>
    <w:rsid w:val="00804A43"/>
    <w:rsid w:val="00811D74"/>
    <w:rsid w:val="00811F7A"/>
    <w:rsid w:val="00815FCD"/>
    <w:rsid w:val="00816D6A"/>
    <w:rsid w:val="00817FCE"/>
    <w:rsid w:val="0083032C"/>
    <w:rsid w:val="008324F0"/>
    <w:rsid w:val="00850122"/>
    <w:rsid w:val="008546AB"/>
    <w:rsid w:val="00855861"/>
    <w:rsid w:val="0086355D"/>
    <w:rsid w:val="0087040E"/>
    <w:rsid w:val="00876C3C"/>
    <w:rsid w:val="008839BD"/>
    <w:rsid w:val="00886163"/>
    <w:rsid w:val="008964E2"/>
    <w:rsid w:val="008967AF"/>
    <w:rsid w:val="008A299D"/>
    <w:rsid w:val="008A2D29"/>
    <w:rsid w:val="008A4DA5"/>
    <w:rsid w:val="008A6A1E"/>
    <w:rsid w:val="008C2E94"/>
    <w:rsid w:val="008C5589"/>
    <w:rsid w:val="008C7AE9"/>
    <w:rsid w:val="008D0303"/>
    <w:rsid w:val="008D04F7"/>
    <w:rsid w:val="008D0D7C"/>
    <w:rsid w:val="008D17B3"/>
    <w:rsid w:val="008D5563"/>
    <w:rsid w:val="008D6580"/>
    <w:rsid w:val="008E1F95"/>
    <w:rsid w:val="008E7611"/>
    <w:rsid w:val="008F105B"/>
    <w:rsid w:val="008F279C"/>
    <w:rsid w:val="008F7F4B"/>
    <w:rsid w:val="0090462E"/>
    <w:rsid w:val="00906D49"/>
    <w:rsid w:val="00913589"/>
    <w:rsid w:val="00915E3F"/>
    <w:rsid w:val="00930538"/>
    <w:rsid w:val="00930DBC"/>
    <w:rsid w:val="0094476A"/>
    <w:rsid w:val="009611AC"/>
    <w:rsid w:val="009728D4"/>
    <w:rsid w:val="00974278"/>
    <w:rsid w:val="00981482"/>
    <w:rsid w:val="00987598"/>
    <w:rsid w:val="009A7D21"/>
    <w:rsid w:val="009B6015"/>
    <w:rsid w:val="009B6093"/>
    <w:rsid w:val="009C0F77"/>
    <w:rsid w:val="009C511C"/>
    <w:rsid w:val="009D315B"/>
    <w:rsid w:val="009E1C55"/>
    <w:rsid w:val="009E2DB9"/>
    <w:rsid w:val="009E5AD1"/>
    <w:rsid w:val="009F0AA6"/>
    <w:rsid w:val="009F1CB4"/>
    <w:rsid w:val="009F3609"/>
    <w:rsid w:val="009F4E3B"/>
    <w:rsid w:val="00A00171"/>
    <w:rsid w:val="00A00639"/>
    <w:rsid w:val="00A122DA"/>
    <w:rsid w:val="00A134E3"/>
    <w:rsid w:val="00A13CC7"/>
    <w:rsid w:val="00A2206B"/>
    <w:rsid w:val="00A247E3"/>
    <w:rsid w:val="00A2529D"/>
    <w:rsid w:val="00A46C40"/>
    <w:rsid w:val="00A666A4"/>
    <w:rsid w:val="00A7463B"/>
    <w:rsid w:val="00A75ABC"/>
    <w:rsid w:val="00A7732D"/>
    <w:rsid w:val="00A85E26"/>
    <w:rsid w:val="00A91756"/>
    <w:rsid w:val="00A91F18"/>
    <w:rsid w:val="00A95D13"/>
    <w:rsid w:val="00AA25ED"/>
    <w:rsid w:val="00AA317D"/>
    <w:rsid w:val="00AA7C65"/>
    <w:rsid w:val="00AA7FC2"/>
    <w:rsid w:val="00AB0946"/>
    <w:rsid w:val="00AB3C44"/>
    <w:rsid w:val="00AC5432"/>
    <w:rsid w:val="00AC6518"/>
    <w:rsid w:val="00AD17DA"/>
    <w:rsid w:val="00AD5295"/>
    <w:rsid w:val="00AD7132"/>
    <w:rsid w:val="00AE6F7E"/>
    <w:rsid w:val="00AF0164"/>
    <w:rsid w:val="00AF1CC7"/>
    <w:rsid w:val="00AF2602"/>
    <w:rsid w:val="00AF4DA2"/>
    <w:rsid w:val="00AF73F5"/>
    <w:rsid w:val="00B03DE5"/>
    <w:rsid w:val="00B050AF"/>
    <w:rsid w:val="00B14200"/>
    <w:rsid w:val="00B150F1"/>
    <w:rsid w:val="00B22DE8"/>
    <w:rsid w:val="00B30BE1"/>
    <w:rsid w:val="00B32176"/>
    <w:rsid w:val="00B36311"/>
    <w:rsid w:val="00B37390"/>
    <w:rsid w:val="00B4537F"/>
    <w:rsid w:val="00B624E4"/>
    <w:rsid w:val="00B631D9"/>
    <w:rsid w:val="00B73618"/>
    <w:rsid w:val="00B87E71"/>
    <w:rsid w:val="00B923FB"/>
    <w:rsid w:val="00BA4BB8"/>
    <w:rsid w:val="00BA5076"/>
    <w:rsid w:val="00BA7DB4"/>
    <w:rsid w:val="00BB2B18"/>
    <w:rsid w:val="00BB4A17"/>
    <w:rsid w:val="00BB60DD"/>
    <w:rsid w:val="00BB6B02"/>
    <w:rsid w:val="00BB72EE"/>
    <w:rsid w:val="00BC6BDB"/>
    <w:rsid w:val="00BC7A0B"/>
    <w:rsid w:val="00BD009E"/>
    <w:rsid w:val="00BD2810"/>
    <w:rsid w:val="00BD524C"/>
    <w:rsid w:val="00BD7CE9"/>
    <w:rsid w:val="00BE650A"/>
    <w:rsid w:val="00BF0B53"/>
    <w:rsid w:val="00BF288B"/>
    <w:rsid w:val="00BF547C"/>
    <w:rsid w:val="00C005F8"/>
    <w:rsid w:val="00C1486E"/>
    <w:rsid w:val="00C16925"/>
    <w:rsid w:val="00C17F90"/>
    <w:rsid w:val="00C24C26"/>
    <w:rsid w:val="00C264E3"/>
    <w:rsid w:val="00C43061"/>
    <w:rsid w:val="00C43C84"/>
    <w:rsid w:val="00C4646D"/>
    <w:rsid w:val="00C51B05"/>
    <w:rsid w:val="00C5454B"/>
    <w:rsid w:val="00C62497"/>
    <w:rsid w:val="00C81B87"/>
    <w:rsid w:val="00C83D14"/>
    <w:rsid w:val="00C8745C"/>
    <w:rsid w:val="00CA319F"/>
    <w:rsid w:val="00CA56E5"/>
    <w:rsid w:val="00CB1EB4"/>
    <w:rsid w:val="00CB46ED"/>
    <w:rsid w:val="00CB4B8D"/>
    <w:rsid w:val="00CB704A"/>
    <w:rsid w:val="00CC3FBC"/>
    <w:rsid w:val="00CC4A49"/>
    <w:rsid w:val="00CC4C87"/>
    <w:rsid w:val="00CC5F72"/>
    <w:rsid w:val="00CC782E"/>
    <w:rsid w:val="00CD470D"/>
    <w:rsid w:val="00CE5397"/>
    <w:rsid w:val="00D13233"/>
    <w:rsid w:val="00D16977"/>
    <w:rsid w:val="00D26F8C"/>
    <w:rsid w:val="00D422BA"/>
    <w:rsid w:val="00D431EA"/>
    <w:rsid w:val="00D473DC"/>
    <w:rsid w:val="00D509C0"/>
    <w:rsid w:val="00D626E5"/>
    <w:rsid w:val="00D63C1A"/>
    <w:rsid w:val="00D81BD4"/>
    <w:rsid w:val="00D831CC"/>
    <w:rsid w:val="00D84E4A"/>
    <w:rsid w:val="00D85519"/>
    <w:rsid w:val="00D90B23"/>
    <w:rsid w:val="00D9246A"/>
    <w:rsid w:val="00D9534B"/>
    <w:rsid w:val="00D96889"/>
    <w:rsid w:val="00D96A91"/>
    <w:rsid w:val="00D9757D"/>
    <w:rsid w:val="00DA4D46"/>
    <w:rsid w:val="00DB31FF"/>
    <w:rsid w:val="00DC1D1A"/>
    <w:rsid w:val="00DC32A6"/>
    <w:rsid w:val="00DC4E14"/>
    <w:rsid w:val="00DD471B"/>
    <w:rsid w:val="00DE2119"/>
    <w:rsid w:val="00DE3866"/>
    <w:rsid w:val="00DE3E4E"/>
    <w:rsid w:val="00DE63B7"/>
    <w:rsid w:val="00DF0764"/>
    <w:rsid w:val="00DF093D"/>
    <w:rsid w:val="00DF3031"/>
    <w:rsid w:val="00DF4BC5"/>
    <w:rsid w:val="00E01542"/>
    <w:rsid w:val="00E03BFA"/>
    <w:rsid w:val="00E05430"/>
    <w:rsid w:val="00E1769A"/>
    <w:rsid w:val="00E21250"/>
    <w:rsid w:val="00E212E9"/>
    <w:rsid w:val="00E23011"/>
    <w:rsid w:val="00E24DD7"/>
    <w:rsid w:val="00E3488A"/>
    <w:rsid w:val="00E354D7"/>
    <w:rsid w:val="00E369C6"/>
    <w:rsid w:val="00E37292"/>
    <w:rsid w:val="00E45957"/>
    <w:rsid w:val="00E50269"/>
    <w:rsid w:val="00E6482E"/>
    <w:rsid w:val="00E74579"/>
    <w:rsid w:val="00E747A6"/>
    <w:rsid w:val="00E77794"/>
    <w:rsid w:val="00E83A13"/>
    <w:rsid w:val="00E90164"/>
    <w:rsid w:val="00E95EF8"/>
    <w:rsid w:val="00EA01E8"/>
    <w:rsid w:val="00EA3DA8"/>
    <w:rsid w:val="00EA53C5"/>
    <w:rsid w:val="00EB125D"/>
    <w:rsid w:val="00EB30E8"/>
    <w:rsid w:val="00EB3BDC"/>
    <w:rsid w:val="00EB478C"/>
    <w:rsid w:val="00EB6815"/>
    <w:rsid w:val="00EC079C"/>
    <w:rsid w:val="00ED3057"/>
    <w:rsid w:val="00ED76B9"/>
    <w:rsid w:val="00EE1ECC"/>
    <w:rsid w:val="00EE4893"/>
    <w:rsid w:val="00EE4B80"/>
    <w:rsid w:val="00EE672E"/>
    <w:rsid w:val="00EE6F79"/>
    <w:rsid w:val="00F013C5"/>
    <w:rsid w:val="00F02D91"/>
    <w:rsid w:val="00F052BC"/>
    <w:rsid w:val="00F11417"/>
    <w:rsid w:val="00F13E06"/>
    <w:rsid w:val="00F14404"/>
    <w:rsid w:val="00F152A4"/>
    <w:rsid w:val="00F1593E"/>
    <w:rsid w:val="00F230F3"/>
    <w:rsid w:val="00F2596C"/>
    <w:rsid w:val="00F30E12"/>
    <w:rsid w:val="00F36454"/>
    <w:rsid w:val="00F36865"/>
    <w:rsid w:val="00F4284A"/>
    <w:rsid w:val="00F4304B"/>
    <w:rsid w:val="00F44479"/>
    <w:rsid w:val="00F457BD"/>
    <w:rsid w:val="00F45B70"/>
    <w:rsid w:val="00F464C9"/>
    <w:rsid w:val="00F50B18"/>
    <w:rsid w:val="00F52FF4"/>
    <w:rsid w:val="00F54DE5"/>
    <w:rsid w:val="00F56E84"/>
    <w:rsid w:val="00F6705D"/>
    <w:rsid w:val="00F73C43"/>
    <w:rsid w:val="00F769F5"/>
    <w:rsid w:val="00F82910"/>
    <w:rsid w:val="00F8650B"/>
    <w:rsid w:val="00F87146"/>
    <w:rsid w:val="00FA16F2"/>
    <w:rsid w:val="00FA548B"/>
    <w:rsid w:val="00FA552A"/>
    <w:rsid w:val="00FC06B8"/>
    <w:rsid w:val="00FC14A5"/>
    <w:rsid w:val="00FC2C6D"/>
    <w:rsid w:val="00FC44D4"/>
    <w:rsid w:val="00FC6FD6"/>
    <w:rsid w:val="00FD2637"/>
    <w:rsid w:val="00FD2CC4"/>
    <w:rsid w:val="00FE173B"/>
    <w:rsid w:val="00FE25B0"/>
    <w:rsid w:val="00FF0107"/>
    <w:rsid w:val="00FF06D0"/>
    <w:rsid w:val="00FF591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ED53FA"/>
  <w15:docId w15:val="{D17B5E87-C125-48E3-8C03-BBEB0B476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874"/>
    <w:pPr>
      <w:widowControl w:val="0"/>
      <w:bidi/>
      <w:spacing w:after="240" w:line="192" w:lineRule="auto"/>
      <w:ind w:firstLine="397"/>
      <w:jc w:val="both"/>
    </w:pPr>
    <w:rPr>
      <w:rFonts w:cs="Lotus"/>
      <w:szCs w:val="28"/>
    </w:rPr>
  </w:style>
  <w:style w:type="paragraph" w:styleId="Heading1">
    <w:name w:val="heading 1"/>
    <w:basedOn w:val="Normal"/>
    <w:next w:val="Normal"/>
    <w:link w:val="Heading1Char"/>
    <w:uiPriority w:val="9"/>
    <w:qFormat/>
    <w:rsid w:val="00CB1EB4"/>
    <w:pPr>
      <w:keepNext/>
      <w:keepLines/>
      <w:spacing w:before="240" w:after="120" w:line="240" w:lineRule="auto"/>
      <w:ind w:firstLine="0"/>
      <w:jc w:val="left"/>
      <w:outlineLvl w:val="0"/>
    </w:pPr>
    <w:rPr>
      <w:rFonts w:asciiTheme="majorHAnsi" w:eastAsiaTheme="majorEastAsia" w:hAnsiTheme="majorHAnsi" w:cs="Zar"/>
      <w:b/>
      <w:bCs/>
      <w:color w:val="365F91" w:themeColor="accent1" w:themeShade="BF"/>
      <w:sz w:val="28"/>
      <w:szCs w:val="24"/>
    </w:rPr>
  </w:style>
  <w:style w:type="paragraph" w:styleId="Heading2">
    <w:name w:val="heading 2"/>
    <w:basedOn w:val="Normal"/>
    <w:next w:val="Normal"/>
    <w:link w:val="Heading2Char"/>
    <w:uiPriority w:val="9"/>
    <w:unhideWhenUsed/>
    <w:qFormat/>
    <w:rsid w:val="00CB1EB4"/>
    <w:pPr>
      <w:keepNext/>
      <w:keepLines/>
      <w:spacing w:before="240" w:after="120" w:line="240" w:lineRule="auto"/>
      <w:ind w:left="170" w:firstLine="0"/>
      <w:jc w:val="left"/>
      <w:outlineLvl w:val="1"/>
    </w:pPr>
    <w:rPr>
      <w:rFonts w:asciiTheme="majorHAnsi" w:eastAsiaTheme="majorEastAsia" w:hAnsiTheme="majorHAnsi" w:cs="Zar"/>
      <w:b/>
      <w:bCs/>
      <w:color w:val="76923C" w:themeColor="accent3" w:themeShade="BF"/>
      <w:sz w:val="26"/>
      <w:szCs w:val="24"/>
    </w:rPr>
  </w:style>
  <w:style w:type="paragraph" w:styleId="Heading3">
    <w:name w:val="heading 3"/>
    <w:basedOn w:val="Normal"/>
    <w:next w:val="Normal"/>
    <w:link w:val="Heading3Char"/>
    <w:uiPriority w:val="9"/>
    <w:unhideWhenUsed/>
    <w:qFormat/>
    <w:rsid w:val="00CB1EB4"/>
    <w:pPr>
      <w:keepNext/>
      <w:keepLines/>
      <w:spacing w:before="240" w:after="120" w:line="240" w:lineRule="auto"/>
      <w:ind w:left="340" w:firstLine="0"/>
      <w:jc w:val="left"/>
      <w:outlineLvl w:val="2"/>
    </w:pPr>
    <w:rPr>
      <w:rFonts w:asciiTheme="majorHAnsi" w:eastAsiaTheme="majorEastAsia" w:hAnsiTheme="majorHAnsi" w:cs="Zar"/>
      <w:b/>
      <w:bCs/>
      <w:color w:val="E36C0A" w:themeColor="accent6" w:themeShade="BF"/>
      <w:szCs w:val="24"/>
    </w:rPr>
  </w:style>
  <w:style w:type="paragraph" w:styleId="Heading4">
    <w:name w:val="heading 4"/>
    <w:basedOn w:val="Normal"/>
    <w:next w:val="Normal"/>
    <w:link w:val="Heading4Char"/>
    <w:uiPriority w:val="9"/>
    <w:unhideWhenUsed/>
    <w:qFormat/>
    <w:rsid w:val="00CB1EB4"/>
    <w:pPr>
      <w:keepNext/>
      <w:keepLines/>
      <w:spacing w:before="240" w:after="120" w:line="240" w:lineRule="auto"/>
      <w:ind w:left="510" w:firstLine="0"/>
      <w:outlineLvl w:val="3"/>
    </w:pPr>
    <w:rPr>
      <w:rFonts w:asciiTheme="majorHAnsi" w:eastAsiaTheme="majorEastAsia" w:hAnsiTheme="majorHAnsi" w:cs="Zar"/>
      <w:b/>
      <w:bCs/>
      <w:i/>
      <w:color w:val="4F81BD" w:themeColor="accent1"/>
      <w:szCs w:val="24"/>
    </w:rPr>
  </w:style>
  <w:style w:type="paragraph" w:styleId="Heading5">
    <w:name w:val="heading 5"/>
    <w:basedOn w:val="Normal"/>
    <w:next w:val="Normal"/>
    <w:link w:val="Heading5Char"/>
    <w:uiPriority w:val="9"/>
    <w:unhideWhenUsed/>
    <w:qFormat/>
    <w:rsid w:val="00CB1EB4"/>
    <w:pPr>
      <w:keepNext/>
      <w:keepLines/>
      <w:spacing w:before="240" w:after="120" w:line="240" w:lineRule="auto"/>
      <w:ind w:left="680" w:firstLine="0"/>
      <w:outlineLvl w:val="4"/>
    </w:pPr>
    <w:rPr>
      <w:rFonts w:asciiTheme="majorHAnsi" w:eastAsiaTheme="majorEastAsia" w:hAnsiTheme="majorHAnsi" w:cs="Zar"/>
      <w:bCs/>
      <w:color w:val="984806" w:themeColor="accent6"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4D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D73"/>
    <w:rPr>
      <w:rFonts w:cs="Lotus"/>
      <w:szCs w:val="28"/>
    </w:rPr>
  </w:style>
  <w:style w:type="paragraph" w:styleId="Footer">
    <w:name w:val="footer"/>
    <w:basedOn w:val="Normal"/>
    <w:link w:val="FooterChar"/>
    <w:uiPriority w:val="99"/>
    <w:unhideWhenUsed/>
    <w:rsid w:val="00024D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D73"/>
    <w:rPr>
      <w:rFonts w:cs="Lotus"/>
      <w:szCs w:val="28"/>
    </w:rPr>
  </w:style>
  <w:style w:type="paragraph" w:styleId="BalloonText">
    <w:name w:val="Balloon Text"/>
    <w:basedOn w:val="Normal"/>
    <w:link w:val="BalloonTextChar"/>
    <w:uiPriority w:val="99"/>
    <w:semiHidden/>
    <w:unhideWhenUsed/>
    <w:rsid w:val="00024D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D73"/>
    <w:rPr>
      <w:rFonts w:ascii="Tahoma" w:hAnsi="Tahoma" w:cs="Tahoma"/>
      <w:sz w:val="16"/>
      <w:szCs w:val="16"/>
    </w:rPr>
  </w:style>
  <w:style w:type="paragraph" w:styleId="ListParagraph">
    <w:name w:val="List Paragraph"/>
    <w:basedOn w:val="Normal"/>
    <w:uiPriority w:val="34"/>
    <w:qFormat/>
    <w:rsid w:val="004A73C2"/>
    <w:pPr>
      <w:ind w:left="720"/>
      <w:contextualSpacing/>
    </w:pPr>
  </w:style>
  <w:style w:type="character" w:customStyle="1" w:styleId="Heading1Char">
    <w:name w:val="Heading 1 Char"/>
    <w:basedOn w:val="DefaultParagraphFont"/>
    <w:link w:val="Heading1"/>
    <w:uiPriority w:val="9"/>
    <w:rsid w:val="00CB1EB4"/>
    <w:rPr>
      <w:rFonts w:asciiTheme="majorHAnsi" w:eastAsiaTheme="majorEastAsia" w:hAnsiTheme="majorHAnsi" w:cs="Zar"/>
      <w:b/>
      <w:bCs/>
      <w:color w:val="365F91" w:themeColor="accent1" w:themeShade="BF"/>
      <w:sz w:val="28"/>
      <w:szCs w:val="24"/>
    </w:rPr>
  </w:style>
  <w:style w:type="character" w:customStyle="1" w:styleId="Heading2Char">
    <w:name w:val="Heading 2 Char"/>
    <w:basedOn w:val="DefaultParagraphFont"/>
    <w:link w:val="Heading2"/>
    <w:uiPriority w:val="9"/>
    <w:rsid w:val="00CB1EB4"/>
    <w:rPr>
      <w:rFonts w:asciiTheme="majorHAnsi" w:eastAsiaTheme="majorEastAsia" w:hAnsiTheme="majorHAnsi" w:cs="Zar"/>
      <w:b/>
      <w:bCs/>
      <w:color w:val="76923C" w:themeColor="accent3" w:themeShade="BF"/>
      <w:sz w:val="26"/>
      <w:szCs w:val="24"/>
    </w:rPr>
  </w:style>
  <w:style w:type="character" w:customStyle="1" w:styleId="Heading3Char">
    <w:name w:val="Heading 3 Char"/>
    <w:basedOn w:val="DefaultParagraphFont"/>
    <w:link w:val="Heading3"/>
    <w:uiPriority w:val="9"/>
    <w:rsid w:val="00CB1EB4"/>
    <w:rPr>
      <w:rFonts w:asciiTheme="majorHAnsi" w:eastAsiaTheme="majorEastAsia" w:hAnsiTheme="majorHAnsi" w:cs="Zar"/>
      <w:b/>
      <w:bCs/>
      <w:color w:val="E36C0A" w:themeColor="accent6" w:themeShade="BF"/>
      <w:szCs w:val="24"/>
    </w:rPr>
  </w:style>
  <w:style w:type="character" w:styleId="Hyperlink">
    <w:name w:val="Hyperlink"/>
    <w:basedOn w:val="DefaultParagraphFont"/>
    <w:uiPriority w:val="99"/>
    <w:unhideWhenUsed/>
    <w:rsid w:val="002C5590"/>
    <w:rPr>
      <w:color w:val="0000FF" w:themeColor="hyperlink"/>
      <w:u w:val="single"/>
    </w:rPr>
  </w:style>
  <w:style w:type="table" w:styleId="TableGrid">
    <w:name w:val="Table Grid"/>
    <w:basedOn w:val="TableNormal"/>
    <w:uiPriority w:val="59"/>
    <w:rsid w:val="00F43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CB1EB4"/>
    <w:rPr>
      <w:rFonts w:asciiTheme="majorHAnsi" w:eastAsiaTheme="majorEastAsia" w:hAnsiTheme="majorHAnsi" w:cs="Zar"/>
      <w:b/>
      <w:bCs/>
      <w:i/>
      <w:color w:val="4F81BD" w:themeColor="accent1"/>
      <w:szCs w:val="24"/>
    </w:rPr>
  </w:style>
  <w:style w:type="character" w:customStyle="1" w:styleId="Heading5Char">
    <w:name w:val="Heading 5 Char"/>
    <w:basedOn w:val="DefaultParagraphFont"/>
    <w:link w:val="Heading5"/>
    <w:uiPriority w:val="9"/>
    <w:rsid w:val="00CB1EB4"/>
    <w:rPr>
      <w:rFonts w:asciiTheme="majorHAnsi" w:eastAsiaTheme="majorEastAsia" w:hAnsiTheme="majorHAnsi" w:cs="Zar"/>
      <w:bCs/>
      <w:color w:val="984806" w:themeColor="accent6" w:themeShade="80"/>
      <w:szCs w:val="24"/>
    </w:rPr>
  </w:style>
  <w:style w:type="paragraph" w:styleId="FootnoteText">
    <w:name w:val="footnote text"/>
    <w:basedOn w:val="Normal"/>
    <w:link w:val="FootnoteTextChar"/>
    <w:autoRedefine/>
    <w:uiPriority w:val="99"/>
    <w:unhideWhenUsed/>
    <w:rsid w:val="0032771C"/>
    <w:pPr>
      <w:spacing w:after="0" w:line="240" w:lineRule="auto"/>
    </w:pPr>
    <w:rPr>
      <w:sz w:val="20"/>
      <w:szCs w:val="20"/>
    </w:rPr>
  </w:style>
  <w:style w:type="character" w:customStyle="1" w:styleId="FootnoteTextChar">
    <w:name w:val="Footnote Text Char"/>
    <w:basedOn w:val="DefaultParagraphFont"/>
    <w:link w:val="FootnoteText"/>
    <w:uiPriority w:val="99"/>
    <w:rsid w:val="0032771C"/>
    <w:rPr>
      <w:rFonts w:cs="Lotus"/>
      <w:sz w:val="20"/>
      <w:szCs w:val="20"/>
    </w:rPr>
  </w:style>
  <w:style w:type="character" w:styleId="FootnoteReference">
    <w:name w:val="footnote reference"/>
    <w:basedOn w:val="DefaultParagraphFont"/>
    <w:uiPriority w:val="99"/>
    <w:semiHidden/>
    <w:unhideWhenUsed/>
    <w:rsid w:val="0032771C"/>
    <w:rPr>
      <w:vertAlign w:val="superscript"/>
    </w:rPr>
  </w:style>
  <w:style w:type="paragraph" w:styleId="Title">
    <w:name w:val="Title"/>
    <w:basedOn w:val="Normal"/>
    <w:next w:val="Normal"/>
    <w:link w:val="TitleChar"/>
    <w:uiPriority w:val="10"/>
    <w:qFormat/>
    <w:rsid w:val="00147FC0"/>
    <w:pPr>
      <w:pBdr>
        <w:bottom w:val="single" w:sz="8" w:space="4" w:color="4F81BD" w:themeColor="accent1"/>
      </w:pBdr>
      <w:shd w:val="pct20" w:color="auto" w:fill="auto"/>
      <w:spacing w:after="300" w:line="240" w:lineRule="auto"/>
      <w:contextualSpacing/>
    </w:pPr>
    <w:rPr>
      <w:rFonts w:asciiTheme="majorHAnsi" w:eastAsiaTheme="majorEastAsia" w:hAnsiTheme="majorHAnsi" w:cs="Zar"/>
      <w:bCs/>
      <w:color w:val="17365D" w:themeColor="text2" w:themeShade="BF"/>
      <w:spacing w:val="5"/>
      <w:kern w:val="28"/>
      <w:sz w:val="52"/>
      <w:szCs w:val="44"/>
    </w:rPr>
  </w:style>
  <w:style w:type="character" w:customStyle="1" w:styleId="TitleChar">
    <w:name w:val="Title Char"/>
    <w:basedOn w:val="DefaultParagraphFont"/>
    <w:link w:val="Title"/>
    <w:uiPriority w:val="10"/>
    <w:rsid w:val="00147FC0"/>
    <w:rPr>
      <w:rFonts w:asciiTheme="majorHAnsi" w:eastAsiaTheme="majorEastAsia" w:hAnsiTheme="majorHAnsi" w:cs="Zar"/>
      <w:bCs/>
      <w:color w:val="17365D" w:themeColor="text2" w:themeShade="BF"/>
      <w:spacing w:val="5"/>
      <w:kern w:val="28"/>
      <w:sz w:val="52"/>
      <w:szCs w:val="44"/>
      <w:shd w:val="pct20" w:color="auto" w:fill="auto"/>
    </w:rPr>
  </w:style>
  <w:style w:type="paragraph" w:styleId="TOCHeading">
    <w:name w:val="TOC Heading"/>
    <w:basedOn w:val="Heading1"/>
    <w:next w:val="Normal"/>
    <w:uiPriority w:val="39"/>
    <w:unhideWhenUsed/>
    <w:qFormat/>
    <w:rsid w:val="00793BA9"/>
    <w:pPr>
      <w:widowControl/>
      <w:bidi w:val="0"/>
      <w:spacing w:after="0" w:line="259" w:lineRule="auto"/>
      <w:outlineLvl w:val="9"/>
    </w:pPr>
    <w:rPr>
      <w:rFonts w:cstheme="majorBidi"/>
      <w:b w:val="0"/>
      <w:bCs w:val="0"/>
      <w:sz w:val="32"/>
      <w:szCs w:val="32"/>
      <w:lang w:bidi="ar-SA"/>
    </w:rPr>
  </w:style>
  <w:style w:type="paragraph" w:styleId="TOC1">
    <w:name w:val="toc 1"/>
    <w:basedOn w:val="Normal"/>
    <w:next w:val="Normal"/>
    <w:autoRedefine/>
    <w:uiPriority w:val="39"/>
    <w:unhideWhenUsed/>
    <w:rsid w:val="004118F5"/>
    <w:pPr>
      <w:numPr>
        <w:ilvl w:val="2"/>
        <w:numId w:val="3"/>
      </w:numPr>
      <w:tabs>
        <w:tab w:val="right" w:leader="dot" w:pos="9910"/>
      </w:tabs>
      <w:spacing w:after="0"/>
      <w:ind w:left="698"/>
      <w:contextualSpacing/>
      <w:jc w:val="left"/>
    </w:pPr>
  </w:style>
  <w:style w:type="paragraph" w:styleId="TOC3">
    <w:name w:val="toc 3"/>
    <w:basedOn w:val="Normal"/>
    <w:next w:val="Normal"/>
    <w:autoRedefine/>
    <w:uiPriority w:val="39"/>
    <w:unhideWhenUsed/>
    <w:rsid w:val="00793BA9"/>
    <w:pPr>
      <w:spacing w:after="100"/>
      <w:ind w:left="440"/>
    </w:pPr>
  </w:style>
  <w:style w:type="paragraph" w:styleId="TOC2">
    <w:name w:val="toc 2"/>
    <w:basedOn w:val="Normal"/>
    <w:next w:val="Normal"/>
    <w:autoRedefine/>
    <w:uiPriority w:val="39"/>
    <w:unhideWhenUsed/>
    <w:rsid w:val="00296ED4"/>
    <w:pPr>
      <w:numPr>
        <w:ilvl w:val="2"/>
        <w:numId w:val="10"/>
      </w:numPr>
      <w:tabs>
        <w:tab w:val="right" w:leader="dot" w:pos="4808"/>
      </w:tabs>
      <w:spacing w:after="100"/>
    </w:pPr>
  </w:style>
  <w:style w:type="paragraph" w:customStyle="1" w:styleId="a">
    <w:name w:val="سرعنوان طرح"/>
    <w:basedOn w:val="Normal"/>
    <w:link w:val="Char"/>
    <w:qFormat/>
    <w:rsid w:val="004605F6"/>
    <w:pPr>
      <w:spacing w:before="4440" w:line="240" w:lineRule="auto"/>
      <w:ind w:firstLine="0"/>
      <w:jc w:val="left"/>
    </w:pPr>
    <w:rPr>
      <w:rFonts w:cs="Zar"/>
      <w:b/>
      <w:bCs/>
      <w:color w:val="4F81BD" w:themeColor="accent1"/>
      <w:sz w:val="36"/>
      <w:szCs w:val="36"/>
    </w:rPr>
  </w:style>
  <w:style w:type="character" w:customStyle="1" w:styleId="Char">
    <w:name w:val="سرعنوان طرح Char"/>
    <w:basedOn w:val="DefaultParagraphFont"/>
    <w:link w:val="a"/>
    <w:rsid w:val="004605F6"/>
    <w:rPr>
      <w:rFonts w:cs="Zar"/>
      <w:b/>
      <w:bCs/>
      <w:color w:val="4F81BD" w:themeColor="accent1"/>
      <w:sz w:val="36"/>
      <w:szCs w:val="36"/>
    </w:rPr>
  </w:style>
  <w:style w:type="paragraph" w:styleId="EndnoteText">
    <w:name w:val="endnote text"/>
    <w:basedOn w:val="Normal"/>
    <w:link w:val="EndnoteTextChar"/>
    <w:uiPriority w:val="99"/>
    <w:semiHidden/>
    <w:unhideWhenUsed/>
    <w:rsid w:val="004605F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05F6"/>
    <w:rPr>
      <w:rFonts w:cs="Lotus"/>
      <w:sz w:val="20"/>
      <w:szCs w:val="20"/>
    </w:rPr>
  </w:style>
  <w:style w:type="character" w:styleId="EndnoteReference">
    <w:name w:val="endnote reference"/>
    <w:basedOn w:val="DefaultParagraphFont"/>
    <w:uiPriority w:val="99"/>
    <w:semiHidden/>
    <w:unhideWhenUsed/>
    <w:rsid w:val="004605F6"/>
    <w:rPr>
      <w:vertAlign w:val="superscript"/>
    </w:rPr>
  </w:style>
  <w:style w:type="paragraph" w:styleId="IntenseQuote">
    <w:name w:val="Intense Quote"/>
    <w:basedOn w:val="Normal"/>
    <w:next w:val="Normal"/>
    <w:link w:val="IntenseQuoteChar"/>
    <w:uiPriority w:val="30"/>
    <w:qFormat/>
    <w:rsid w:val="004605F6"/>
    <w:pPr>
      <w:keepNext/>
      <w:pBdr>
        <w:top w:val="single" w:sz="4" w:space="5" w:color="4F81BD" w:themeColor="accent1"/>
        <w:bottom w:val="single" w:sz="4" w:space="4" w:color="4F81BD" w:themeColor="accent1"/>
      </w:pBdr>
      <w:spacing w:before="360" w:after="360"/>
      <w:ind w:left="862" w:right="862"/>
      <w:jc w:val="center"/>
    </w:pPr>
    <w:rPr>
      <w:b/>
      <w:bCs/>
      <w:i/>
      <w:iCs/>
      <w:color w:val="4F81BD" w:themeColor="accent1"/>
    </w:rPr>
  </w:style>
  <w:style w:type="character" w:customStyle="1" w:styleId="IntenseQuoteChar">
    <w:name w:val="Intense Quote Char"/>
    <w:basedOn w:val="DefaultParagraphFont"/>
    <w:link w:val="IntenseQuote"/>
    <w:uiPriority w:val="30"/>
    <w:rsid w:val="004605F6"/>
    <w:rPr>
      <w:rFonts w:cs="Lotus"/>
      <w:b/>
      <w:bCs/>
      <w:i/>
      <w:iCs/>
      <w:color w:val="4F81BD" w:themeColor="accent1"/>
      <w:szCs w:val="28"/>
    </w:rPr>
  </w:style>
  <w:style w:type="character" w:styleId="PlaceholderText">
    <w:name w:val="Placeholder Text"/>
    <w:basedOn w:val="DefaultParagraphFont"/>
    <w:uiPriority w:val="99"/>
    <w:semiHidden/>
    <w:rsid w:val="004605F6"/>
    <w:rPr>
      <w:color w:val="808080"/>
    </w:rPr>
  </w:style>
  <w:style w:type="character" w:customStyle="1" w:styleId="a0">
    <w:name w:val="فانوس"/>
    <w:basedOn w:val="DefaultParagraphFont"/>
    <w:uiPriority w:val="1"/>
    <w:qFormat/>
    <w:rsid w:val="004605F6"/>
    <w:rPr>
      <w:rFonts w:ascii="Vazir Black" w:hAnsi="Vazir Black" w:cs="Vazir Black"/>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365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microsoft.com/office/2007/relationships/hdphoto" Target="media/hdphoto2.wdp"/><Relationship Id="rId26" Type="http://schemas.openxmlformats.org/officeDocument/2006/relationships/header" Target="header1.xm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8.png"/><Relationship Id="rId5" Type="http://schemas.openxmlformats.org/officeDocument/2006/relationships/webSettings" Target="webSettings.xml"/><Relationship Id="rId15" Type="http://schemas.microsoft.com/office/2007/relationships/diagramDrawing" Target="diagrams/drawing1.xml"/><Relationship Id="rId23" Type="http://schemas.microsoft.com/office/2007/relationships/hdphoto" Target="media/hdphoto4.wdp"/><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diagramColors" Target="diagrams/colors1.xml"/><Relationship Id="rId22" Type="http://schemas.openxmlformats.org/officeDocument/2006/relationships/image" Target="media/image7.pn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microsoft.com/office/2007/relationships/hdphoto" Target="media/hdphoto5.wdp"/><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nt\Documents\&#1587;&#1575;&#1583;&#1607;.dotm"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033C13-05D1-4D95-B042-C1CD87FE8004}" type="doc">
      <dgm:prSet loTypeId="urn:microsoft.com/office/officeart/2005/8/layout/cycle3" loCatId="cycle" qsTypeId="urn:microsoft.com/office/officeart/2005/8/quickstyle/simple3" qsCatId="simple" csTypeId="urn:microsoft.com/office/officeart/2005/8/colors/colorful5" csCatId="colorful" phldr="1"/>
      <dgm:spPr/>
      <dgm:t>
        <a:bodyPr/>
        <a:lstStyle/>
        <a:p>
          <a:pPr rtl="1"/>
          <a:endParaRPr lang="fa-IR"/>
        </a:p>
      </dgm:t>
    </dgm:pt>
    <dgm:pt modelId="{D0E404E6-6E17-42A2-8206-3EF9F8DA65B0}">
      <dgm:prSet phldrT="[Text]"/>
      <dgm:spPr/>
      <dgm:t>
        <a:bodyPr/>
        <a:lstStyle/>
        <a:p>
          <a:pPr rtl="1"/>
          <a:r>
            <a:rPr lang="fa-IR">
              <a:latin typeface="Vazir YA" panose="020B0503030804020204" pitchFamily="34" charset="-78"/>
              <a:ea typeface="Vazir YA" panose="020B0503030804020204" pitchFamily="34" charset="-78"/>
              <a:cs typeface="Vazir YA" panose="020B0503030804020204" pitchFamily="34" charset="-78"/>
            </a:rPr>
            <a:t>نظرسنجي</a:t>
          </a:r>
          <a:br>
            <a:rPr lang="fa-IR">
              <a:latin typeface="Vazir YA" panose="020B0503030804020204" pitchFamily="34" charset="-78"/>
              <a:ea typeface="Vazir YA" panose="020B0503030804020204" pitchFamily="34" charset="-78"/>
              <a:cs typeface="Vazir YA" panose="020B0503030804020204" pitchFamily="34" charset="-78"/>
            </a:rPr>
          </a:br>
          <a:r>
            <a:rPr lang="fa-IR">
              <a:latin typeface="Vazir YA" panose="020B0503030804020204" pitchFamily="34" charset="-78"/>
              <a:ea typeface="Vazir YA" panose="020B0503030804020204" pitchFamily="34" charset="-78"/>
              <a:cs typeface="Vazir YA" panose="020B0503030804020204" pitchFamily="34" charset="-78"/>
            </a:rPr>
            <a:t>اثرسنجي</a:t>
          </a:r>
        </a:p>
      </dgm:t>
    </dgm:pt>
    <dgm:pt modelId="{82B29379-5806-48CE-91BB-4E9344968222}" type="parTrans" cxnId="{99F9C5AF-A90A-4E14-AEB4-BAF55E7030BD}">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F822DFE7-1E0D-4D0B-B78F-5B9CC659CFEF}" type="sibTrans" cxnId="{99F9C5AF-A90A-4E14-AEB4-BAF55E7030BD}">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3E7820A9-EF75-4D3E-8B81-8C9DFF3EB304}">
      <dgm:prSet phldrT="[Text]"/>
      <dgm:spPr/>
      <dgm:t>
        <a:bodyPr/>
        <a:lstStyle/>
        <a:p>
          <a:pPr rtl="1"/>
          <a:r>
            <a:rPr lang="fa-IR">
              <a:latin typeface="Vazir YA" panose="020B0503030804020204" pitchFamily="34" charset="-78"/>
              <a:ea typeface="Vazir YA" panose="020B0503030804020204" pitchFamily="34" charset="-78"/>
              <a:cs typeface="Vazir YA" panose="020B0503030804020204" pitchFamily="34" charset="-78"/>
            </a:rPr>
            <a:t>تدوين</a:t>
          </a:r>
        </a:p>
      </dgm:t>
    </dgm:pt>
    <dgm:pt modelId="{08199ED5-6628-4823-980E-F7F2B9021396}" type="parTrans" cxnId="{755242E0-178B-4FFB-809F-36D7F0D2D03C}">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274CBD00-86D3-48B4-B765-4AF7253C3F3E}" type="sibTrans" cxnId="{755242E0-178B-4FFB-809F-36D7F0D2D03C}">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3ECF7EA9-8619-4EB3-A70A-4068989300C2}">
      <dgm:prSet phldrT="[Text]"/>
      <dgm:spPr/>
      <dgm:t>
        <a:bodyPr/>
        <a:lstStyle/>
        <a:p>
          <a:pPr rtl="1"/>
          <a:r>
            <a:rPr lang="fa-IR">
              <a:latin typeface="Vazir YA" panose="020B0503030804020204" pitchFamily="34" charset="-78"/>
              <a:ea typeface="Vazir YA" panose="020B0503030804020204" pitchFamily="34" charset="-78"/>
              <a:cs typeface="Vazir YA" panose="020B0503030804020204" pitchFamily="34" charset="-78"/>
            </a:rPr>
            <a:t>تصويب</a:t>
          </a:r>
        </a:p>
      </dgm:t>
    </dgm:pt>
    <dgm:pt modelId="{2572B983-F33B-462A-A6C6-8C91E3A5EC13}" type="parTrans" cxnId="{949117E4-9C07-4BBE-89C8-7E399166FDBB}">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741D8B63-5058-4C2C-999E-BAC98F04B036}" type="sibTrans" cxnId="{949117E4-9C07-4BBE-89C8-7E399166FDBB}">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C8F9CA46-A735-4653-8322-E51340D00B45}">
      <dgm:prSet phldrT="[Text]"/>
      <dgm:spPr/>
      <dgm:t>
        <a:bodyPr/>
        <a:lstStyle/>
        <a:p>
          <a:pPr rtl="1"/>
          <a:r>
            <a:rPr lang="fa-IR">
              <a:latin typeface="Vazir YA" panose="020B0503030804020204" pitchFamily="34" charset="-78"/>
              <a:ea typeface="Vazir YA" panose="020B0503030804020204" pitchFamily="34" charset="-78"/>
              <a:cs typeface="Vazir YA" panose="020B0503030804020204" pitchFamily="34" charset="-78"/>
            </a:rPr>
            <a:t>تنقيح</a:t>
          </a:r>
        </a:p>
      </dgm:t>
    </dgm:pt>
    <dgm:pt modelId="{82ED23B3-3541-48F1-B335-C8B9F4B8286E}" type="parTrans" cxnId="{73AAD7CF-58F7-41C8-BEB1-435DDF6A5A28}">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5DF23B68-1266-427A-85CE-6E8801B388BE}" type="sibTrans" cxnId="{73AAD7CF-58F7-41C8-BEB1-435DDF6A5A28}">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DC872CB5-6BD8-46A2-86D8-28DDD436A1ED}">
      <dgm:prSet phldrT="[Text]"/>
      <dgm:spPr/>
      <dgm:t>
        <a:bodyPr/>
        <a:lstStyle/>
        <a:p>
          <a:pPr rtl="1"/>
          <a:r>
            <a:rPr lang="fa-IR">
              <a:latin typeface="Vazir YA" panose="020B0503030804020204" pitchFamily="34" charset="-78"/>
              <a:ea typeface="Vazir YA" panose="020B0503030804020204" pitchFamily="34" charset="-78"/>
              <a:cs typeface="Vazir YA" panose="020B0503030804020204" pitchFamily="34" charset="-78"/>
            </a:rPr>
            <a:t>تفسير</a:t>
          </a:r>
        </a:p>
      </dgm:t>
    </dgm:pt>
    <dgm:pt modelId="{2B253982-837F-4F3A-AFE2-59CA07430EF3}" type="parTrans" cxnId="{537B65A5-45A6-43FC-90C3-419F92A886C3}">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7EC180AB-96F7-4100-A08D-5EC0A1BFF979}" type="sibTrans" cxnId="{537B65A5-45A6-43FC-90C3-419F92A886C3}">
      <dgm:prSet/>
      <dgm:spPr/>
      <dgm:t>
        <a:bodyPr/>
        <a:lstStyle/>
        <a:p>
          <a:pPr rtl="1"/>
          <a:endParaRPr lang="fa-IR">
            <a:latin typeface="Vazir YA" panose="020B0503030804020204" pitchFamily="34" charset="-78"/>
            <a:ea typeface="Vazir YA" panose="020B0503030804020204" pitchFamily="34" charset="-78"/>
            <a:cs typeface="Vazir YA" panose="020B0503030804020204" pitchFamily="34" charset="-78"/>
          </a:endParaRPr>
        </a:p>
      </dgm:t>
    </dgm:pt>
    <dgm:pt modelId="{7ABBBC50-DADF-4218-A4FB-4C9692D400AD}" type="pres">
      <dgm:prSet presAssocID="{78033C13-05D1-4D95-B042-C1CD87FE8004}" presName="Name0" presStyleCnt="0">
        <dgm:presLayoutVars>
          <dgm:dir/>
          <dgm:resizeHandles val="exact"/>
        </dgm:presLayoutVars>
      </dgm:prSet>
      <dgm:spPr/>
    </dgm:pt>
    <dgm:pt modelId="{D485EEE6-52D1-4653-AC28-FFC40465DC4A}" type="pres">
      <dgm:prSet presAssocID="{78033C13-05D1-4D95-B042-C1CD87FE8004}" presName="cycle" presStyleCnt="0"/>
      <dgm:spPr/>
    </dgm:pt>
    <dgm:pt modelId="{FF59AE8E-052C-404B-9616-85324E8355FC}" type="pres">
      <dgm:prSet presAssocID="{D0E404E6-6E17-42A2-8206-3EF9F8DA65B0}" presName="nodeFirstNode" presStyleLbl="node1" presStyleIdx="0" presStyleCnt="5">
        <dgm:presLayoutVars>
          <dgm:bulletEnabled val="1"/>
        </dgm:presLayoutVars>
      </dgm:prSet>
      <dgm:spPr/>
    </dgm:pt>
    <dgm:pt modelId="{10475EF2-CEC3-4939-9492-14C43E2B96FD}" type="pres">
      <dgm:prSet presAssocID="{F822DFE7-1E0D-4D0B-B78F-5B9CC659CFEF}" presName="sibTransFirstNode" presStyleLbl="bgShp" presStyleIdx="0" presStyleCnt="1"/>
      <dgm:spPr/>
    </dgm:pt>
    <dgm:pt modelId="{AE9279CF-CAA6-440D-926B-17A54A14618F}" type="pres">
      <dgm:prSet presAssocID="{3E7820A9-EF75-4D3E-8B81-8C9DFF3EB304}" presName="nodeFollowingNodes" presStyleLbl="node1" presStyleIdx="1" presStyleCnt="5">
        <dgm:presLayoutVars>
          <dgm:bulletEnabled val="1"/>
        </dgm:presLayoutVars>
      </dgm:prSet>
      <dgm:spPr/>
    </dgm:pt>
    <dgm:pt modelId="{5FE27535-5BE3-4968-8D2B-B39E92B3AD1A}" type="pres">
      <dgm:prSet presAssocID="{3ECF7EA9-8619-4EB3-A70A-4068989300C2}" presName="nodeFollowingNodes" presStyleLbl="node1" presStyleIdx="2" presStyleCnt="5">
        <dgm:presLayoutVars>
          <dgm:bulletEnabled val="1"/>
        </dgm:presLayoutVars>
      </dgm:prSet>
      <dgm:spPr/>
    </dgm:pt>
    <dgm:pt modelId="{688A62C6-1442-4F2B-8A4B-C6C5ED17A554}" type="pres">
      <dgm:prSet presAssocID="{C8F9CA46-A735-4653-8322-E51340D00B45}" presName="nodeFollowingNodes" presStyleLbl="node1" presStyleIdx="3" presStyleCnt="5">
        <dgm:presLayoutVars>
          <dgm:bulletEnabled val="1"/>
        </dgm:presLayoutVars>
      </dgm:prSet>
      <dgm:spPr/>
    </dgm:pt>
    <dgm:pt modelId="{740606F1-1726-4B54-99B7-C66B46CB4844}" type="pres">
      <dgm:prSet presAssocID="{DC872CB5-6BD8-46A2-86D8-28DDD436A1ED}" presName="nodeFollowingNodes" presStyleLbl="node1" presStyleIdx="4" presStyleCnt="5">
        <dgm:presLayoutVars>
          <dgm:bulletEnabled val="1"/>
        </dgm:presLayoutVars>
      </dgm:prSet>
      <dgm:spPr/>
    </dgm:pt>
  </dgm:ptLst>
  <dgm:cxnLst>
    <dgm:cxn modelId="{4CCB5B1E-D21A-4385-B83A-B27469C56540}" type="presOf" srcId="{C8F9CA46-A735-4653-8322-E51340D00B45}" destId="{688A62C6-1442-4F2B-8A4B-C6C5ED17A554}" srcOrd="0" destOrd="0" presId="urn:microsoft.com/office/officeart/2005/8/layout/cycle3"/>
    <dgm:cxn modelId="{F8C32829-271B-423C-AF3F-2D3267562D90}" type="presOf" srcId="{F822DFE7-1E0D-4D0B-B78F-5B9CC659CFEF}" destId="{10475EF2-CEC3-4939-9492-14C43E2B96FD}" srcOrd="0" destOrd="0" presId="urn:microsoft.com/office/officeart/2005/8/layout/cycle3"/>
    <dgm:cxn modelId="{D9C16275-2C4F-48B3-9A7B-2FE1D5080821}" type="presOf" srcId="{D0E404E6-6E17-42A2-8206-3EF9F8DA65B0}" destId="{FF59AE8E-052C-404B-9616-85324E8355FC}" srcOrd="0" destOrd="0" presId="urn:microsoft.com/office/officeart/2005/8/layout/cycle3"/>
    <dgm:cxn modelId="{CAA50A81-0594-4F63-AC74-5B341674A8C8}" type="presOf" srcId="{DC872CB5-6BD8-46A2-86D8-28DDD436A1ED}" destId="{740606F1-1726-4B54-99B7-C66B46CB4844}" srcOrd="0" destOrd="0" presId="urn:microsoft.com/office/officeart/2005/8/layout/cycle3"/>
    <dgm:cxn modelId="{31ACF686-D595-42B0-B7F3-50C2692111C0}" type="presOf" srcId="{3ECF7EA9-8619-4EB3-A70A-4068989300C2}" destId="{5FE27535-5BE3-4968-8D2B-B39E92B3AD1A}" srcOrd="0" destOrd="0" presId="urn:microsoft.com/office/officeart/2005/8/layout/cycle3"/>
    <dgm:cxn modelId="{537B65A5-45A6-43FC-90C3-419F92A886C3}" srcId="{78033C13-05D1-4D95-B042-C1CD87FE8004}" destId="{DC872CB5-6BD8-46A2-86D8-28DDD436A1ED}" srcOrd="4" destOrd="0" parTransId="{2B253982-837F-4F3A-AFE2-59CA07430EF3}" sibTransId="{7EC180AB-96F7-4100-A08D-5EC0A1BFF979}"/>
    <dgm:cxn modelId="{99F9C5AF-A90A-4E14-AEB4-BAF55E7030BD}" srcId="{78033C13-05D1-4D95-B042-C1CD87FE8004}" destId="{D0E404E6-6E17-42A2-8206-3EF9F8DA65B0}" srcOrd="0" destOrd="0" parTransId="{82B29379-5806-48CE-91BB-4E9344968222}" sibTransId="{F822DFE7-1E0D-4D0B-B78F-5B9CC659CFEF}"/>
    <dgm:cxn modelId="{DFDFA0B8-5747-4DA9-A481-62251A840781}" type="presOf" srcId="{3E7820A9-EF75-4D3E-8B81-8C9DFF3EB304}" destId="{AE9279CF-CAA6-440D-926B-17A54A14618F}" srcOrd="0" destOrd="0" presId="urn:microsoft.com/office/officeart/2005/8/layout/cycle3"/>
    <dgm:cxn modelId="{73AAD7CF-58F7-41C8-BEB1-435DDF6A5A28}" srcId="{78033C13-05D1-4D95-B042-C1CD87FE8004}" destId="{C8F9CA46-A735-4653-8322-E51340D00B45}" srcOrd="3" destOrd="0" parTransId="{82ED23B3-3541-48F1-B335-C8B9F4B8286E}" sibTransId="{5DF23B68-1266-427A-85CE-6E8801B388BE}"/>
    <dgm:cxn modelId="{755242E0-178B-4FFB-809F-36D7F0D2D03C}" srcId="{78033C13-05D1-4D95-B042-C1CD87FE8004}" destId="{3E7820A9-EF75-4D3E-8B81-8C9DFF3EB304}" srcOrd="1" destOrd="0" parTransId="{08199ED5-6628-4823-980E-F7F2B9021396}" sibTransId="{274CBD00-86D3-48B4-B765-4AF7253C3F3E}"/>
    <dgm:cxn modelId="{949117E4-9C07-4BBE-89C8-7E399166FDBB}" srcId="{78033C13-05D1-4D95-B042-C1CD87FE8004}" destId="{3ECF7EA9-8619-4EB3-A70A-4068989300C2}" srcOrd="2" destOrd="0" parTransId="{2572B983-F33B-462A-A6C6-8C91E3A5EC13}" sibTransId="{741D8B63-5058-4C2C-999E-BAC98F04B036}"/>
    <dgm:cxn modelId="{A7611AFC-250D-49C5-B3F2-4A05F12AFC92}" type="presOf" srcId="{78033C13-05D1-4D95-B042-C1CD87FE8004}" destId="{7ABBBC50-DADF-4218-A4FB-4C9692D400AD}" srcOrd="0" destOrd="0" presId="urn:microsoft.com/office/officeart/2005/8/layout/cycle3"/>
    <dgm:cxn modelId="{1626CFA0-606F-422B-BB01-742DC44CCA2C}" type="presParOf" srcId="{7ABBBC50-DADF-4218-A4FB-4C9692D400AD}" destId="{D485EEE6-52D1-4653-AC28-FFC40465DC4A}" srcOrd="0" destOrd="0" presId="urn:microsoft.com/office/officeart/2005/8/layout/cycle3"/>
    <dgm:cxn modelId="{836933D9-B9C3-4264-B815-B2A150EA5D3D}" type="presParOf" srcId="{D485EEE6-52D1-4653-AC28-FFC40465DC4A}" destId="{FF59AE8E-052C-404B-9616-85324E8355FC}" srcOrd="0" destOrd="0" presId="urn:microsoft.com/office/officeart/2005/8/layout/cycle3"/>
    <dgm:cxn modelId="{B160BDC9-39BC-417D-9B6E-F7BC1B22A9F9}" type="presParOf" srcId="{D485EEE6-52D1-4653-AC28-FFC40465DC4A}" destId="{10475EF2-CEC3-4939-9492-14C43E2B96FD}" srcOrd="1" destOrd="0" presId="urn:microsoft.com/office/officeart/2005/8/layout/cycle3"/>
    <dgm:cxn modelId="{6A0B07E0-0CDD-4159-BA62-261D8B760534}" type="presParOf" srcId="{D485EEE6-52D1-4653-AC28-FFC40465DC4A}" destId="{AE9279CF-CAA6-440D-926B-17A54A14618F}" srcOrd="2" destOrd="0" presId="urn:microsoft.com/office/officeart/2005/8/layout/cycle3"/>
    <dgm:cxn modelId="{7E9D5D5C-FA60-429C-8F1C-C5472E1A736A}" type="presParOf" srcId="{D485EEE6-52D1-4653-AC28-FFC40465DC4A}" destId="{5FE27535-5BE3-4968-8D2B-B39E92B3AD1A}" srcOrd="3" destOrd="0" presId="urn:microsoft.com/office/officeart/2005/8/layout/cycle3"/>
    <dgm:cxn modelId="{5C762509-609C-41E4-83D4-84C57B42BCEE}" type="presParOf" srcId="{D485EEE6-52D1-4653-AC28-FFC40465DC4A}" destId="{688A62C6-1442-4F2B-8A4B-C6C5ED17A554}" srcOrd="4" destOrd="0" presId="urn:microsoft.com/office/officeart/2005/8/layout/cycle3"/>
    <dgm:cxn modelId="{A3DB5724-F2F1-477F-A6B5-8C7627085C56}" type="presParOf" srcId="{D485EEE6-52D1-4653-AC28-FFC40465DC4A}" destId="{740606F1-1726-4B54-99B7-C66B46CB4844}" srcOrd="5" destOrd="0" presId="urn:microsoft.com/office/officeart/2005/8/layout/cycle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475EF2-CEC3-4939-9492-14C43E2B96FD}">
      <dsp:nvSpPr>
        <dsp:cNvPr id="0" name=""/>
        <dsp:cNvSpPr/>
      </dsp:nvSpPr>
      <dsp:spPr>
        <a:xfrm>
          <a:off x="341055" y="233811"/>
          <a:ext cx="2778004" cy="2778004"/>
        </a:xfrm>
        <a:prstGeom prst="circularArrow">
          <a:avLst>
            <a:gd name="adj1" fmla="val 5544"/>
            <a:gd name="adj2" fmla="val 330680"/>
            <a:gd name="adj3" fmla="val 13945263"/>
            <a:gd name="adj4" fmla="val 17283745"/>
            <a:gd name="adj5" fmla="val 5757"/>
          </a:avLst>
        </a:prstGeom>
        <a:solidFill>
          <a:schemeClr val="accent5">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FF59AE8E-052C-404B-9616-85324E8355FC}">
      <dsp:nvSpPr>
        <dsp:cNvPr id="0" name=""/>
        <dsp:cNvSpPr/>
      </dsp:nvSpPr>
      <dsp:spPr>
        <a:xfrm>
          <a:off x="1127747" y="246886"/>
          <a:ext cx="1204620" cy="602310"/>
        </a:xfrm>
        <a:prstGeom prst="round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fa-IR" sz="1200" kern="1200">
              <a:latin typeface="Vazir YA" panose="020B0503030804020204" pitchFamily="34" charset="-78"/>
              <a:ea typeface="Vazir YA" panose="020B0503030804020204" pitchFamily="34" charset="-78"/>
              <a:cs typeface="Vazir YA" panose="020B0503030804020204" pitchFamily="34" charset="-78"/>
            </a:rPr>
            <a:t>نظرسنجي</a:t>
          </a:r>
          <a:br>
            <a:rPr lang="fa-IR" sz="1200" kern="1200">
              <a:latin typeface="Vazir YA" panose="020B0503030804020204" pitchFamily="34" charset="-78"/>
              <a:ea typeface="Vazir YA" panose="020B0503030804020204" pitchFamily="34" charset="-78"/>
              <a:cs typeface="Vazir YA" panose="020B0503030804020204" pitchFamily="34" charset="-78"/>
            </a:rPr>
          </a:br>
          <a:r>
            <a:rPr lang="fa-IR" sz="1200" kern="1200">
              <a:latin typeface="Vazir YA" panose="020B0503030804020204" pitchFamily="34" charset="-78"/>
              <a:ea typeface="Vazir YA" panose="020B0503030804020204" pitchFamily="34" charset="-78"/>
              <a:cs typeface="Vazir YA" panose="020B0503030804020204" pitchFamily="34" charset="-78"/>
            </a:rPr>
            <a:t>اثرسنجي</a:t>
          </a:r>
        </a:p>
      </dsp:txBody>
      <dsp:txXfrm>
        <a:off x="1157149" y="276288"/>
        <a:ext cx="1145816" cy="543506"/>
      </dsp:txXfrm>
    </dsp:sp>
    <dsp:sp modelId="{AE9279CF-CAA6-440D-926B-17A54A14618F}">
      <dsp:nvSpPr>
        <dsp:cNvPr id="0" name=""/>
        <dsp:cNvSpPr/>
      </dsp:nvSpPr>
      <dsp:spPr>
        <a:xfrm>
          <a:off x="2254416" y="1065459"/>
          <a:ext cx="1204620" cy="602310"/>
        </a:xfrm>
        <a:prstGeom prst="roundRect">
          <a:avLst/>
        </a:prstGeom>
        <a:gradFill rotWithShape="0">
          <a:gsLst>
            <a:gs pos="0">
              <a:schemeClr val="accent5">
                <a:hueOff val="-2483469"/>
                <a:satOff val="9953"/>
                <a:lumOff val="2157"/>
                <a:alphaOff val="0"/>
                <a:tint val="50000"/>
                <a:satMod val="300000"/>
              </a:schemeClr>
            </a:gs>
            <a:gs pos="35000">
              <a:schemeClr val="accent5">
                <a:hueOff val="-2483469"/>
                <a:satOff val="9953"/>
                <a:lumOff val="2157"/>
                <a:alphaOff val="0"/>
                <a:tint val="37000"/>
                <a:satMod val="300000"/>
              </a:schemeClr>
            </a:gs>
            <a:gs pos="100000">
              <a:schemeClr val="accent5">
                <a:hueOff val="-2483469"/>
                <a:satOff val="9953"/>
                <a:lumOff val="215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fa-IR" sz="1200" kern="1200">
              <a:latin typeface="Vazir YA" panose="020B0503030804020204" pitchFamily="34" charset="-78"/>
              <a:ea typeface="Vazir YA" panose="020B0503030804020204" pitchFamily="34" charset="-78"/>
              <a:cs typeface="Vazir YA" panose="020B0503030804020204" pitchFamily="34" charset="-78"/>
            </a:rPr>
            <a:t>تدوين</a:t>
          </a:r>
        </a:p>
      </dsp:txBody>
      <dsp:txXfrm>
        <a:off x="2283818" y="1094861"/>
        <a:ext cx="1145816" cy="543506"/>
      </dsp:txXfrm>
    </dsp:sp>
    <dsp:sp modelId="{5FE27535-5BE3-4968-8D2B-B39E92B3AD1A}">
      <dsp:nvSpPr>
        <dsp:cNvPr id="0" name=""/>
        <dsp:cNvSpPr/>
      </dsp:nvSpPr>
      <dsp:spPr>
        <a:xfrm>
          <a:off x="1824067" y="2389938"/>
          <a:ext cx="1204620" cy="602310"/>
        </a:xfrm>
        <a:prstGeom prst="roundRect">
          <a:avLst/>
        </a:prstGeom>
        <a:gradFill rotWithShape="0">
          <a:gsLst>
            <a:gs pos="0">
              <a:schemeClr val="accent5">
                <a:hueOff val="-4966938"/>
                <a:satOff val="19906"/>
                <a:lumOff val="4314"/>
                <a:alphaOff val="0"/>
                <a:tint val="50000"/>
                <a:satMod val="300000"/>
              </a:schemeClr>
            </a:gs>
            <a:gs pos="35000">
              <a:schemeClr val="accent5">
                <a:hueOff val="-4966938"/>
                <a:satOff val="19906"/>
                <a:lumOff val="4314"/>
                <a:alphaOff val="0"/>
                <a:tint val="37000"/>
                <a:satMod val="300000"/>
              </a:schemeClr>
            </a:gs>
            <a:gs pos="100000">
              <a:schemeClr val="accent5">
                <a:hueOff val="-4966938"/>
                <a:satOff val="19906"/>
                <a:lumOff val="431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fa-IR" sz="1200" kern="1200">
              <a:latin typeface="Vazir YA" panose="020B0503030804020204" pitchFamily="34" charset="-78"/>
              <a:ea typeface="Vazir YA" panose="020B0503030804020204" pitchFamily="34" charset="-78"/>
              <a:cs typeface="Vazir YA" panose="020B0503030804020204" pitchFamily="34" charset="-78"/>
            </a:rPr>
            <a:t>تصويب</a:t>
          </a:r>
        </a:p>
      </dsp:txBody>
      <dsp:txXfrm>
        <a:off x="1853469" y="2419340"/>
        <a:ext cx="1145816" cy="543506"/>
      </dsp:txXfrm>
    </dsp:sp>
    <dsp:sp modelId="{688A62C6-1442-4F2B-8A4B-C6C5ED17A554}">
      <dsp:nvSpPr>
        <dsp:cNvPr id="0" name=""/>
        <dsp:cNvSpPr/>
      </dsp:nvSpPr>
      <dsp:spPr>
        <a:xfrm>
          <a:off x="431427" y="2389938"/>
          <a:ext cx="1204620" cy="602310"/>
        </a:xfrm>
        <a:prstGeom prst="roundRect">
          <a:avLst/>
        </a:prstGeom>
        <a:gradFill rotWithShape="0">
          <a:gsLst>
            <a:gs pos="0">
              <a:schemeClr val="accent5">
                <a:hueOff val="-7450407"/>
                <a:satOff val="29858"/>
                <a:lumOff val="6471"/>
                <a:alphaOff val="0"/>
                <a:tint val="50000"/>
                <a:satMod val="300000"/>
              </a:schemeClr>
            </a:gs>
            <a:gs pos="35000">
              <a:schemeClr val="accent5">
                <a:hueOff val="-7450407"/>
                <a:satOff val="29858"/>
                <a:lumOff val="6471"/>
                <a:alphaOff val="0"/>
                <a:tint val="37000"/>
                <a:satMod val="300000"/>
              </a:schemeClr>
            </a:gs>
            <a:gs pos="100000">
              <a:schemeClr val="accent5">
                <a:hueOff val="-7450407"/>
                <a:satOff val="29858"/>
                <a:lumOff val="6471"/>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fa-IR" sz="1200" kern="1200">
              <a:latin typeface="Vazir YA" panose="020B0503030804020204" pitchFamily="34" charset="-78"/>
              <a:ea typeface="Vazir YA" panose="020B0503030804020204" pitchFamily="34" charset="-78"/>
              <a:cs typeface="Vazir YA" panose="020B0503030804020204" pitchFamily="34" charset="-78"/>
            </a:rPr>
            <a:t>تنقيح</a:t>
          </a:r>
        </a:p>
      </dsp:txBody>
      <dsp:txXfrm>
        <a:off x="460829" y="2419340"/>
        <a:ext cx="1145816" cy="543506"/>
      </dsp:txXfrm>
    </dsp:sp>
    <dsp:sp modelId="{740606F1-1726-4B54-99B7-C66B46CB4844}">
      <dsp:nvSpPr>
        <dsp:cNvPr id="0" name=""/>
        <dsp:cNvSpPr/>
      </dsp:nvSpPr>
      <dsp:spPr>
        <a:xfrm>
          <a:off x="1078" y="1065459"/>
          <a:ext cx="1204620" cy="602310"/>
        </a:xfrm>
        <a:prstGeom prst="roundRect">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fa-IR" sz="1200" kern="1200">
              <a:latin typeface="Vazir YA" panose="020B0503030804020204" pitchFamily="34" charset="-78"/>
              <a:ea typeface="Vazir YA" panose="020B0503030804020204" pitchFamily="34" charset="-78"/>
              <a:cs typeface="Vazir YA" panose="020B0503030804020204" pitchFamily="34" charset="-78"/>
            </a:rPr>
            <a:t>تفسير</a:t>
          </a:r>
        </a:p>
      </dsp:txBody>
      <dsp:txXfrm>
        <a:off x="30480" y="1094861"/>
        <a:ext cx="1145816" cy="543506"/>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12762-407C-46CA-A772-1FB9FD073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ساده.dotm</Template>
  <TotalTime>960</TotalTime>
  <Pages>1</Pages>
  <Words>2079</Words>
  <Characters>11855</Characters>
  <Application>Microsoft Office Word</Application>
  <DocSecurity>0</DocSecurity>
  <Lines>98</Lines>
  <Paragraphs>27</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/مراحل قانونگذاري</vt:lpstr>
      <vt:lpstr>    تدوين</vt:lpstr>
      <vt:lpstr>    تصويب</vt:lpstr>
      <vt:lpstr>        تصويب در كميسيون</vt:lpstr>
      <vt:lpstr>        تصويب در صحن علني</vt:lpstr>
      <vt:lpstr>    تنقيح</vt:lpstr>
      <vt:lpstr>        تنقيح سنّتي</vt:lpstr>
      <vt:lpstr>        تنقيح نوين</vt:lpstr>
      <vt:lpstr>    تفسير</vt:lpstr>
      <vt:lpstr>        استفساريه</vt:lpstr>
      <vt:lpstr>        اداره مشاوره‌هاي تقنيني</vt:lpstr>
      <vt:lpstr>    نظرسنجي</vt:lpstr>
      <vt:lpstr>    اثرسنجي</vt:lpstr>
      <vt:lpstr>مطالعات تطبيقي</vt:lpstr>
      <vt:lpstr>فهرست مباحث اين جلسه</vt:lpstr>
      <vt:lpstr/>
    </vt:vector>
  </TitlesOfParts>
  <Company>Personal</Company>
  <LinksUpToDate>false</LinksUpToDate>
  <CharactersWithSpaces>13907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Tent</dc:creator>
  <cp:lastModifiedBy>Tent</cp:lastModifiedBy>
  <cp:revision>70</cp:revision>
  <cp:lastPrinted>2025-08-23T07:06:00Z</cp:lastPrinted>
  <dcterms:created xsi:type="dcterms:W3CDTF">2023-08-26T22:40:00Z</dcterms:created>
  <dcterms:modified xsi:type="dcterms:W3CDTF">2025-08-23T07:06:00Z</dcterms:modified>
</cp:coreProperties>
</file>