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C6" w:rsidRDefault="00024D73" w:rsidP="00B30BE1">
      <w:pPr>
        <w:spacing w:after="120" w:line="240" w:lineRule="auto"/>
        <w:ind w:firstLine="0"/>
        <w:jc w:val="center"/>
        <w:rPr>
          <w:sz w:val="28"/>
          <w:rtl/>
        </w:rPr>
      </w:pPr>
      <w:bookmarkStart w:id="0" w:name="_GoBack"/>
      <w:bookmarkEnd w:id="0"/>
      <w:r>
        <w:rPr>
          <w:rFonts w:hint="cs"/>
          <w:sz w:val="28"/>
          <w:rtl/>
        </w:rPr>
        <w:t>به نام خدا</w:t>
      </w:r>
    </w:p>
    <w:p w:rsidR="00024D73" w:rsidRPr="005103C4" w:rsidRDefault="00FE3A71" w:rsidP="00416786">
      <w:pPr>
        <w:spacing w:after="120" w:line="240" w:lineRule="auto"/>
        <w:ind w:firstLine="0"/>
        <w:jc w:val="center"/>
        <w:rPr>
          <w:rFonts w:cs="Vahid"/>
          <w:color w:val="C00000"/>
          <w:sz w:val="36"/>
          <w:szCs w:val="36"/>
          <w:vertAlign w:val="subscript"/>
          <w:rtl/>
        </w:rPr>
      </w:pPr>
      <w:r>
        <w:rPr>
          <w:rFonts w:cs="Vahid" w:hint="cs"/>
          <w:color w:val="C00000"/>
          <w:sz w:val="36"/>
          <w:szCs w:val="36"/>
          <w:rtl/>
        </w:rPr>
        <w:t xml:space="preserve">اصول و سياست‌هاي راهبردي مؤسسه كبريا </w:t>
      </w:r>
      <w:r w:rsidR="00822442">
        <w:rPr>
          <w:rFonts w:cs="Vahid" w:hint="cs"/>
          <w:color w:val="C00000"/>
          <w:sz w:val="36"/>
          <w:szCs w:val="36"/>
          <w:rtl/>
        </w:rPr>
        <w:t xml:space="preserve">ـ نسخه </w:t>
      </w:r>
      <w:r w:rsidR="00416786">
        <w:rPr>
          <w:rFonts w:cs="Vahid" w:hint="cs"/>
          <w:color w:val="C00000"/>
          <w:sz w:val="36"/>
          <w:szCs w:val="36"/>
          <w:rtl/>
        </w:rPr>
        <w:t>س</w:t>
      </w:r>
      <w:r w:rsidR="00822442">
        <w:rPr>
          <w:rFonts w:cs="Vahid" w:hint="cs"/>
          <w:color w:val="C00000"/>
          <w:sz w:val="36"/>
          <w:szCs w:val="36"/>
          <w:rtl/>
        </w:rPr>
        <w:t xml:space="preserve">وم </w:t>
      </w:r>
      <w:r>
        <w:rPr>
          <w:rFonts w:cs="Vahid" w:hint="cs"/>
          <w:color w:val="C00000"/>
          <w:sz w:val="36"/>
          <w:szCs w:val="36"/>
          <w:rtl/>
        </w:rPr>
        <w:t xml:space="preserve">ـ </w:t>
      </w:r>
      <w:r w:rsidR="00416786">
        <w:rPr>
          <w:rFonts w:cs="Vahid" w:hint="cs"/>
          <w:color w:val="C00000"/>
          <w:sz w:val="36"/>
          <w:szCs w:val="36"/>
          <w:rtl/>
        </w:rPr>
        <w:t>8</w:t>
      </w:r>
      <w:r>
        <w:rPr>
          <w:rFonts w:cs="Vahid" w:hint="cs"/>
          <w:color w:val="C00000"/>
          <w:sz w:val="36"/>
          <w:szCs w:val="36"/>
          <w:rtl/>
        </w:rPr>
        <w:t>/10/1390</w:t>
      </w:r>
    </w:p>
    <w:p w:rsidR="00FD2637" w:rsidRDefault="00FE3A71" w:rsidP="00FE3A71">
      <w:pPr>
        <w:pStyle w:val="Heading1"/>
        <w:rPr>
          <w:rtl/>
        </w:rPr>
      </w:pPr>
      <w:r>
        <w:rPr>
          <w:rFonts w:hint="cs"/>
          <w:rtl/>
        </w:rPr>
        <w:t>چشم‌انداز</w:t>
      </w:r>
    </w:p>
    <w:p w:rsidR="00FE3A71" w:rsidRDefault="00FE3A71" w:rsidP="00FF6354">
      <w:pPr>
        <w:rPr>
          <w:rtl/>
        </w:rPr>
      </w:pPr>
      <w:r>
        <w:rPr>
          <w:rFonts w:hint="cs"/>
          <w:rtl/>
        </w:rPr>
        <w:t xml:space="preserve">با اتكال به قدرت لايزال الهي و در پرتو ايمان به حقانيت نظام جمهوري اسلامي، مؤسسه غيرتجاري و غيرسياسي نجوم كبريانگار در افق 1400 هجري شمسي، معتبرترين، مؤثرترين و توانمندترين </w:t>
      </w:r>
      <w:r w:rsidR="00FF6354">
        <w:rPr>
          <w:rFonts w:hint="cs"/>
          <w:rtl/>
        </w:rPr>
        <w:t>نهاد</w:t>
      </w:r>
      <w:r>
        <w:rPr>
          <w:rFonts w:hint="cs"/>
          <w:rtl/>
        </w:rPr>
        <w:t xml:space="preserve"> علمي- كاربردي نجومي كشور در فعاليت‌هاي ذيل است:</w:t>
      </w:r>
    </w:p>
    <w:p w:rsidR="00FE3A71" w:rsidRDefault="00FF6354" w:rsidP="00FE3A71">
      <w:pPr>
        <w:pStyle w:val="ListParagraph"/>
        <w:numPr>
          <w:ilvl w:val="0"/>
          <w:numId w:val="17"/>
        </w:numPr>
      </w:pPr>
      <w:r>
        <w:rPr>
          <w:rFonts w:hint="cs"/>
          <w:rtl/>
        </w:rPr>
        <w:t>بررسي، تحليل و استخراج داده‌هاي گاهشماري</w:t>
      </w:r>
    </w:p>
    <w:p w:rsidR="00FE3A71" w:rsidRDefault="00FF6354" w:rsidP="00FE3A71">
      <w:pPr>
        <w:pStyle w:val="ListParagraph"/>
        <w:numPr>
          <w:ilvl w:val="0"/>
          <w:numId w:val="17"/>
        </w:numPr>
      </w:pPr>
      <w:r>
        <w:rPr>
          <w:rFonts w:hint="cs"/>
          <w:rtl/>
        </w:rPr>
        <w:t>نظريه‌پردازي نجومي بر اساس منابع ديني</w:t>
      </w:r>
    </w:p>
    <w:p w:rsidR="00FE3A71" w:rsidRDefault="00FE3A71" w:rsidP="00FE3A71">
      <w:pPr>
        <w:pStyle w:val="ListParagraph"/>
        <w:numPr>
          <w:ilvl w:val="0"/>
          <w:numId w:val="17"/>
        </w:numPr>
      </w:pPr>
      <w:r>
        <w:rPr>
          <w:rFonts w:hint="cs"/>
          <w:rtl/>
        </w:rPr>
        <w:t>نظريه‌پردازي در تمامي موضوعات مرتبط با نجوم</w:t>
      </w:r>
    </w:p>
    <w:p w:rsidR="00FE3A71" w:rsidRDefault="00FE3A71" w:rsidP="00FE3A71">
      <w:pPr>
        <w:pStyle w:val="ListParagraph"/>
        <w:numPr>
          <w:ilvl w:val="0"/>
          <w:numId w:val="17"/>
        </w:numPr>
      </w:pPr>
      <w:r>
        <w:rPr>
          <w:rFonts w:hint="cs"/>
          <w:rtl/>
        </w:rPr>
        <w:t>توليد ثروت از ايده‌هاي نجومي</w:t>
      </w:r>
    </w:p>
    <w:p w:rsidR="00FE3A71" w:rsidRDefault="00FE3A71" w:rsidP="00FE3A71">
      <w:pPr>
        <w:pStyle w:val="ListParagraph"/>
        <w:numPr>
          <w:ilvl w:val="0"/>
          <w:numId w:val="17"/>
        </w:numPr>
      </w:pPr>
      <w:r>
        <w:rPr>
          <w:rFonts w:hint="cs"/>
          <w:rtl/>
        </w:rPr>
        <w:t>اجرا، نظارت و ارزيابي دقيق پروژه‌هاي نجومي</w:t>
      </w:r>
    </w:p>
    <w:p w:rsidR="00FE3A71" w:rsidRDefault="00907ED4" w:rsidP="00FE3A71">
      <w:pPr>
        <w:pStyle w:val="ListParagraph"/>
        <w:numPr>
          <w:ilvl w:val="0"/>
          <w:numId w:val="17"/>
        </w:numPr>
      </w:pPr>
      <w:r>
        <w:rPr>
          <w:rFonts w:hint="cs"/>
          <w:rtl/>
        </w:rPr>
        <w:t>ساماندهي منجمين و تمامي مراكز فعّال در عرصه‌هاي مرتبط با نجوم</w:t>
      </w:r>
    </w:p>
    <w:p w:rsidR="00907ED4" w:rsidRDefault="00907ED4" w:rsidP="00FF6354">
      <w:pPr>
        <w:pStyle w:val="ListParagraph"/>
        <w:numPr>
          <w:ilvl w:val="0"/>
          <w:numId w:val="17"/>
        </w:numPr>
      </w:pPr>
      <w:r>
        <w:rPr>
          <w:rFonts w:hint="cs"/>
          <w:rtl/>
        </w:rPr>
        <w:t xml:space="preserve">استانداردسازي </w:t>
      </w:r>
      <w:r w:rsidR="00FF6354">
        <w:rPr>
          <w:rFonts w:hint="cs"/>
          <w:rtl/>
        </w:rPr>
        <w:t>طرح‌ها و برنامه‌هاي</w:t>
      </w:r>
      <w:r>
        <w:rPr>
          <w:rFonts w:hint="cs"/>
          <w:rtl/>
        </w:rPr>
        <w:t xml:space="preserve"> نجومي</w:t>
      </w:r>
    </w:p>
    <w:p w:rsidR="00907ED4" w:rsidRDefault="00907ED4" w:rsidP="00907ED4">
      <w:pPr>
        <w:pStyle w:val="ListParagraph"/>
        <w:numPr>
          <w:ilvl w:val="0"/>
          <w:numId w:val="17"/>
        </w:numPr>
      </w:pPr>
      <w:r>
        <w:rPr>
          <w:rFonts w:hint="cs"/>
          <w:rtl/>
        </w:rPr>
        <w:t>توليد، كنترل و دقت‌يابي سخت‌افزارها و نرم‌افزارهاي نجومي</w:t>
      </w:r>
    </w:p>
    <w:p w:rsidR="00907ED4" w:rsidRDefault="00907ED4" w:rsidP="00907ED4">
      <w:pPr>
        <w:pStyle w:val="ListParagraph"/>
        <w:numPr>
          <w:ilvl w:val="0"/>
          <w:numId w:val="17"/>
        </w:numPr>
      </w:pPr>
      <w:r>
        <w:rPr>
          <w:rFonts w:hint="cs"/>
          <w:rtl/>
        </w:rPr>
        <w:t>تأسيس دانشگاه نجومي و تربيت دانشجو در گرايش‌هاي زيرمجموعه نجوم</w:t>
      </w:r>
    </w:p>
    <w:p w:rsidR="00767BB4" w:rsidRDefault="00FF6354" w:rsidP="00FF6354">
      <w:pPr>
        <w:pStyle w:val="ListParagraph"/>
        <w:numPr>
          <w:ilvl w:val="0"/>
          <w:numId w:val="17"/>
        </w:numPr>
      </w:pPr>
      <w:r>
        <w:rPr>
          <w:rFonts w:hint="cs"/>
          <w:rtl/>
        </w:rPr>
        <w:t xml:space="preserve">تدوين و </w:t>
      </w:r>
      <w:r w:rsidR="00767BB4">
        <w:rPr>
          <w:rFonts w:hint="cs"/>
          <w:rtl/>
        </w:rPr>
        <w:t xml:space="preserve">انتشار </w:t>
      </w:r>
      <w:r>
        <w:rPr>
          <w:rFonts w:hint="cs"/>
          <w:rtl/>
        </w:rPr>
        <w:t>مقالات، كتب</w:t>
      </w:r>
      <w:r w:rsidR="00767BB4">
        <w:rPr>
          <w:rFonts w:hint="cs"/>
          <w:rtl/>
        </w:rPr>
        <w:t xml:space="preserve"> و نشريات نجومي</w:t>
      </w:r>
    </w:p>
    <w:p w:rsidR="00907ED4" w:rsidRDefault="00907ED4" w:rsidP="00907ED4">
      <w:pPr>
        <w:pStyle w:val="Heading1"/>
        <w:rPr>
          <w:rtl/>
        </w:rPr>
      </w:pPr>
      <w:r>
        <w:rPr>
          <w:rFonts w:hint="cs"/>
          <w:rtl/>
        </w:rPr>
        <w:t>اهداف آرماني</w:t>
      </w:r>
    </w:p>
    <w:p w:rsidR="00907ED4" w:rsidRDefault="00CB7B3F" w:rsidP="00CB7B3F">
      <w:pPr>
        <w:rPr>
          <w:rtl/>
        </w:rPr>
      </w:pPr>
      <w:r>
        <w:rPr>
          <w:rFonts w:hint="cs"/>
          <w:rtl/>
        </w:rPr>
        <w:t>مؤسسه نجوم كبريانگار در راستاي دستيابي به جهت ترسيم شده در چشم‌انداز خود، هدف‌هاي بلندمدتي را مدّ نظر دارد كه به شرح ذيل مي‌باشند:</w:t>
      </w:r>
    </w:p>
    <w:p w:rsidR="00CB7B3F" w:rsidRDefault="00CB7B3F" w:rsidP="00CB7B3F">
      <w:pPr>
        <w:pStyle w:val="ListParagraph"/>
        <w:numPr>
          <w:ilvl w:val="0"/>
          <w:numId w:val="18"/>
        </w:numPr>
      </w:pPr>
      <w:r>
        <w:rPr>
          <w:rFonts w:hint="cs"/>
          <w:rtl/>
        </w:rPr>
        <w:t>ايجاد اعتماد عمومي در جامعه علمي كشور نسبت به دقت علمي به كار رفته در تمامي فعاليت‌هاي پژوهشي و كاربردي مؤسسه، به گونه‌اي كه آثار، محصولات و توليدات مؤسسه اعتبار علمي كافي در ميان متخصّصين داشته باشد و مورد ترديد واقع نگردد.</w:t>
      </w:r>
      <w:r w:rsidR="003C5060">
        <w:rPr>
          <w:rFonts w:hint="cs"/>
          <w:rtl/>
        </w:rPr>
        <w:t xml:space="preserve"> اين هدف با اجراي دقيق چند پروژه علمي تخصّصي و ارائه گزارشات و نتايج آن به مراكز تخصّصي حاصل خواهد شد.</w:t>
      </w:r>
    </w:p>
    <w:p w:rsidR="00CB7B3F" w:rsidRDefault="00CB7B3F" w:rsidP="00767BB4">
      <w:pPr>
        <w:pStyle w:val="ListParagraph"/>
        <w:numPr>
          <w:ilvl w:val="0"/>
          <w:numId w:val="18"/>
        </w:numPr>
      </w:pPr>
      <w:r>
        <w:rPr>
          <w:rFonts w:hint="cs"/>
          <w:rtl/>
        </w:rPr>
        <w:t xml:space="preserve">شهرت علمي در </w:t>
      </w:r>
      <w:r w:rsidR="00767BB4">
        <w:rPr>
          <w:rFonts w:hint="cs"/>
          <w:rtl/>
        </w:rPr>
        <w:t>ميان عموم مردم كه با اطمينان خاطر و ايمان به صحّت نتايج علمي مؤسسه، آثار و دستاوردهاي پژوهشي آن را تهيه نموده و از آن‏ها بدون نگراني استفاده نمايند.</w:t>
      </w:r>
      <w:r w:rsidR="003C5060">
        <w:rPr>
          <w:rFonts w:hint="cs"/>
          <w:rtl/>
        </w:rPr>
        <w:t xml:space="preserve"> براي اين منظور بايد در يك بازه زماني نسبتاً طولاني، اطلاعات و آمار دقيق و صحيح نجومي و تقويمي در اختيار جامعه قرار گيرد.</w:t>
      </w:r>
    </w:p>
    <w:p w:rsidR="003C5060" w:rsidRDefault="002D76EC" w:rsidP="003C5060">
      <w:pPr>
        <w:pStyle w:val="ListParagraph"/>
        <w:numPr>
          <w:ilvl w:val="0"/>
          <w:numId w:val="18"/>
        </w:numPr>
      </w:pPr>
      <w:r>
        <w:rPr>
          <w:rFonts w:hint="cs"/>
          <w:rtl/>
        </w:rPr>
        <w:t>جذب قوي‌ترين دانشمندان نجومي كشور و فعالان عرصه‌هاي مرتبط با نجوم در هيئت‌هاي علمي- پژوهشي مؤسسه و ايجاد فضايي كارآمد براي بهره‌گيري جامعه علمي كشور از دستاوردهاي پژوهشي اين انديشمندان.</w:t>
      </w:r>
      <w:r w:rsidR="003C5060">
        <w:rPr>
          <w:rFonts w:hint="cs"/>
          <w:rtl/>
        </w:rPr>
        <w:t xml:space="preserve"> در صورتي كه امكانات و مقدورات لازم جهت تحقيق و پژوهش با حفظ شأن علمي، به دور از موضع‌گيري‌هاي غيرعلمي براي اين افراد فراهم شود، از همكاري استقبال خواهند كرد.</w:t>
      </w:r>
    </w:p>
    <w:p w:rsidR="002D76EC" w:rsidRDefault="002D76EC" w:rsidP="00767BB4">
      <w:pPr>
        <w:pStyle w:val="ListParagraph"/>
        <w:numPr>
          <w:ilvl w:val="0"/>
          <w:numId w:val="18"/>
        </w:numPr>
      </w:pPr>
      <w:r>
        <w:rPr>
          <w:rFonts w:hint="cs"/>
          <w:rtl/>
        </w:rPr>
        <w:t>توليد استاندارد براي كنترل كيفيت، كنترل روش و فرآيند و كنترل محصولات پژوهشي، سخت‌افزاري و نرم‌افزاري، داده‌ها و آمارهاي توليدي مؤسسات و نهادها در موضوعات مرتبط با نجوم، به نحوي كه مورد پذيرش متخصّصين قرار گيرد و به عنوان فصل‌الخطاب در ارزيابي‌ها محسوب شود.</w:t>
      </w:r>
    </w:p>
    <w:p w:rsidR="002D76EC" w:rsidRDefault="002D76EC" w:rsidP="00FF6354">
      <w:pPr>
        <w:pStyle w:val="ListParagraph"/>
        <w:numPr>
          <w:ilvl w:val="0"/>
          <w:numId w:val="18"/>
        </w:numPr>
      </w:pPr>
      <w:r>
        <w:rPr>
          <w:rFonts w:hint="cs"/>
          <w:rtl/>
        </w:rPr>
        <w:lastRenderedPageBreak/>
        <w:t xml:space="preserve">همكاري </w:t>
      </w:r>
      <w:r w:rsidR="00FF6354">
        <w:rPr>
          <w:rFonts w:hint="cs"/>
          <w:rtl/>
        </w:rPr>
        <w:t>علمي</w:t>
      </w:r>
      <w:r>
        <w:rPr>
          <w:rFonts w:hint="cs"/>
          <w:rtl/>
        </w:rPr>
        <w:t xml:space="preserve"> با تمامي مراكز و نهادهاي دولتي، غيردولتي و غيرانتفاعي، در داخل و خارج كشور، در پژوهش‌هاي مرتبط با نجوم</w:t>
      </w:r>
      <w:r w:rsidR="0051180F">
        <w:rPr>
          <w:rFonts w:hint="cs"/>
          <w:rtl/>
        </w:rPr>
        <w:t xml:space="preserve"> كه</w:t>
      </w:r>
      <w:r>
        <w:rPr>
          <w:rFonts w:hint="cs"/>
          <w:rtl/>
        </w:rPr>
        <w:t xml:space="preserve"> مستلزم ثبات در تصميم‌گيري‌ها و قدرت در برنامه‌ريزي مؤسسه و دقت‌هاي علمي و صداقت مديران و كارشناسان است.</w:t>
      </w:r>
    </w:p>
    <w:p w:rsidR="00BC56A7" w:rsidRDefault="00BC56A7" w:rsidP="00BC56A7">
      <w:pPr>
        <w:pStyle w:val="ListParagraph"/>
        <w:numPr>
          <w:ilvl w:val="0"/>
          <w:numId w:val="18"/>
        </w:numPr>
      </w:pPr>
      <w:r>
        <w:rPr>
          <w:rFonts w:hint="cs"/>
          <w:rtl/>
        </w:rPr>
        <w:t>لازمه دستيابي به چشم‌انداز مطلوب مؤسسه، تأسيس بزرگ‌ترين بانك اطلاعات نجوم در كشور است؛ بانكي كه شامل حداكثر منابع علمي مرتبط با موضوعات نجوم از سراسر جهان باشد، از قبيل: كتاب، نشريه، مقاله، پايان‌نامه، نرم‌افزار و اطلاعات و آمار از مراكز نجومي و فعالان اين عرصه. چنين بانك اطلاعاتي مي‌تواند زمينه دستيابي به بسياري از آرمان‌هاي ذكر شده را فراهم نمايد.</w:t>
      </w:r>
    </w:p>
    <w:p w:rsidR="00FF6354" w:rsidRDefault="00FF6354" w:rsidP="00BC56A7">
      <w:pPr>
        <w:pStyle w:val="ListParagraph"/>
        <w:numPr>
          <w:ilvl w:val="0"/>
          <w:numId w:val="18"/>
        </w:numPr>
      </w:pPr>
      <w:r>
        <w:rPr>
          <w:rFonts w:hint="cs"/>
          <w:rtl/>
        </w:rPr>
        <w:t>انجام فعاليت‌هاي علمي و پژوهشي در زمينه نجوم و موضوعات مرتبط در راستاي چشم‌انداز مؤسسه كه موجب توليد دانش و ثروت در كشور مي‌شود.</w:t>
      </w:r>
    </w:p>
    <w:p w:rsidR="00FF6354" w:rsidRDefault="00FF6354" w:rsidP="00BC56A7">
      <w:pPr>
        <w:pStyle w:val="ListParagraph"/>
        <w:numPr>
          <w:ilvl w:val="0"/>
          <w:numId w:val="18"/>
        </w:numPr>
      </w:pPr>
      <w:r>
        <w:rPr>
          <w:rFonts w:hint="cs"/>
          <w:rtl/>
        </w:rPr>
        <w:t>انجام فعاليت‌هاي آموزشي و ترويجي در زمينه نجوم به عنوان قطب مهمي در پشتيباني پروژه‌هاي علمي و پژوهشي.</w:t>
      </w:r>
    </w:p>
    <w:p w:rsidR="00FF6354" w:rsidRDefault="00FF6354" w:rsidP="00FF6354">
      <w:pPr>
        <w:pStyle w:val="ListParagraph"/>
        <w:numPr>
          <w:ilvl w:val="0"/>
          <w:numId w:val="18"/>
        </w:numPr>
      </w:pPr>
      <w:r>
        <w:rPr>
          <w:rFonts w:hint="cs"/>
          <w:rtl/>
        </w:rPr>
        <w:t>ايجاد و سازوكارهايي براي ارزيابي طرح‌ها، آثار و توليدات نجومي در سطح كشور بر اساس استانداردهاي معتبر، با تشكيل كميته‌هاي تخصّصي در موضوعات مرتبط با نجوم. از جمله وظايفي كه اين كميته‌ها بر عهده دارند ارزيابي كتاب‌ها، مقالات، نرم‌افزارها، ابزارها و طرح‌نامه و انتشار نشرياتي براي ارائه نتايج ارزيابي‌هاي فوق است.</w:t>
      </w:r>
    </w:p>
    <w:p w:rsidR="00FF6354" w:rsidRDefault="00FF6354" w:rsidP="00FF6354">
      <w:pPr>
        <w:pStyle w:val="ListParagraph"/>
        <w:numPr>
          <w:ilvl w:val="0"/>
          <w:numId w:val="18"/>
        </w:numPr>
      </w:pPr>
      <w:r>
        <w:rPr>
          <w:rFonts w:hint="cs"/>
          <w:rtl/>
        </w:rPr>
        <w:t>حمايت علمي، مادي و معنوي از طرح‌ها، آثار پژوهشي، پايان‌نامه‌ها و نوآوري‌ها در زمينه نجوم و موضوعات مرتبط.</w:t>
      </w:r>
    </w:p>
    <w:p w:rsidR="00FF6354" w:rsidRDefault="00FF6354" w:rsidP="00FF6354">
      <w:pPr>
        <w:pStyle w:val="ListParagraph"/>
        <w:numPr>
          <w:ilvl w:val="0"/>
          <w:numId w:val="18"/>
        </w:numPr>
      </w:pPr>
      <w:r>
        <w:rPr>
          <w:rFonts w:hint="cs"/>
          <w:rtl/>
        </w:rPr>
        <w:t>ايجاد زمينه‌ها و بسترهاي مناسب تجاري‌سازي و بهره‌برداري اقتصادي از طرح‌هاي پژوهشي نجومي و جذب سرمايه و اقناع سرمايه‌گذاران براي ايجاد فرصت‌هاي اقتصادي عملياتي شدن طرح‌هاي نجومي.</w:t>
      </w:r>
    </w:p>
    <w:p w:rsidR="00BC56A7" w:rsidRDefault="003F586A" w:rsidP="003F586A">
      <w:pPr>
        <w:pStyle w:val="Heading1"/>
        <w:rPr>
          <w:rtl/>
        </w:rPr>
      </w:pPr>
      <w:r>
        <w:rPr>
          <w:rFonts w:hint="cs"/>
          <w:rtl/>
        </w:rPr>
        <w:t>محيط بيروني؛ فرصت‌ها</w:t>
      </w:r>
    </w:p>
    <w:p w:rsidR="003F586A" w:rsidRDefault="000644FC" w:rsidP="000644FC">
      <w:pPr>
        <w:pStyle w:val="ListParagraph"/>
        <w:numPr>
          <w:ilvl w:val="0"/>
          <w:numId w:val="19"/>
        </w:numPr>
      </w:pPr>
      <w:r>
        <w:rPr>
          <w:rFonts w:hint="cs"/>
          <w:rtl/>
        </w:rPr>
        <w:t>پيشرفته نبودن نهادهاي نجومي كشور</w:t>
      </w:r>
    </w:p>
    <w:p w:rsidR="000644FC" w:rsidRDefault="003679FF" w:rsidP="000644FC">
      <w:pPr>
        <w:pStyle w:val="ListParagraph"/>
        <w:numPr>
          <w:ilvl w:val="0"/>
          <w:numId w:val="19"/>
        </w:numPr>
      </w:pPr>
      <w:r>
        <w:rPr>
          <w:rFonts w:hint="cs"/>
          <w:rtl/>
        </w:rPr>
        <w:t>بكر بودن بسياري از موضوعات نجومي و عدم فعاليت قبلي هيچ نهادي در اين زمينه‌ها</w:t>
      </w:r>
    </w:p>
    <w:p w:rsidR="003679FF" w:rsidRDefault="008F4780" w:rsidP="000644FC">
      <w:pPr>
        <w:pStyle w:val="ListParagraph"/>
        <w:numPr>
          <w:ilvl w:val="0"/>
          <w:numId w:val="19"/>
        </w:numPr>
      </w:pPr>
      <w:r>
        <w:rPr>
          <w:rFonts w:hint="cs"/>
          <w:rtl/>
        </w:rPr>
        <w:t>ساخت رصدخانه ملّي</w:t>
      </w:r>
    </w:p>
    <w:p w:rsidR="003679FF" w:rsidRDefault="003679FF" w:rsidP="000644FC">
      <w:pPr>
        <w:pStyle w:val="ListParagraph"/>
        <w:numPr>
          <w:ilvl w:val="0"/>
          <w:numId w:val="19"/>
        </w:numPr>
      </w:pPr>
      <w:r>
        <w:rPr>
          <w:rFonts w:hint="cs"/>
          <w:rtl/>
        </w:rPr>
        <w:t>عدم وجود مركز نجومي قدرتمندي كه بين رشته‌اي عمل نمايد (حوزوي و دانشگاهي)</w:t>
      </w:r>
    </w:p>
    <w:p w:rsidR="003679FF" w:rsidRDefault="008F4780" w:rsidP="000644FC">
      <w:pPr>
        <w:pStyle w:val="ListParagraph"/>
        <w:numPr>
          <w:ilvl w:val="0"/>
          <w:numId w:val="19"/>
        </w:numPr>
      </w:pPr>
      <w:r>
        <w:rPr>
          <w:rFonts w:hint="cs"/>
          <w:rtl/>
        </w:rPr>
        <w:t>گرايش روزافزون اقشار مختلف جامعه به نجوم</w:t>
      </w:r>
    </w:p>
    <w:p w:rsidR="003679FF" w:rsidRDefault="003679FF" w:rsidP="000644FC">
      <w:pPr>
        <w:pStyle w:val="ListParagraph"/>
        <w:numPr>
          <w:ilvl w:val="0"/>
          <w:numId w:val="19"/>
        </w:numPr>
      </w:pPr>
      <w:r>
        <w:rPr>
          <w:rFonts w:hint="cs"/>
          <w:rtl/>
        </w:rPr>
        <w:t>اهميت تقويم قمري در كشور كه نياز به علم نجوم را افزايش مي‌دهد</w:t>
      </w:r>
    </w:p>
    <w:p w:rsidR="008F4780" w:rsidRDefault="008F4780" w:rsidP="000644FC">
      <w:pPr>
        <w:pStyle w:val="ListParagraph"/>
        <w:numPr>
          <w:ilvl w:val="0"/>
          <w:numId w:val="19"/>
        </w:numPr>
      </w:pPr>
      <w:r>
        <w:rPr>
          <w:rFonts w:hint="cs"/>
          <w:rtl/>
        </w:rPr>
        <w:t>تعلّق خاطر جامعه به ميراث و تمدن غني علمي و معنوي در عرصه نجوم</w:t>
      </w:r>
    </w:p>
    <w:p w:rsidR="003679FF" w:rsidRDefault="003679FF" w:rsidP="003679FF">
      <w:pPr>
        <w:pStyle w:val="Heading1"/>
        <w:rPr>
          <w:rtl/>
        </w:rPr>
      </w:pPr>
      <w:r>
        <w:rPr>
          <w:rFonts w:hint="cs"/>
          <w:rtl/>
        </w:rPr>
        <w:t>محيط بيروني؛ تهديدها</w:t>
      </w:r>
    </w:p>
    <w:p w:rsidR="003679FF" w:rsidRDefault="003679FF" w:rsidP="003679FF">
      <w:pPr>
        <w:pStyle w:val="ListParagraph"/>
        <w:numPr>
          <w:ilvl w:val="0"/>
          <w:numId w:val="20"/>
        </w:numPr>
      </w:pPr>
      <w:r>
        <w:rPr>
          <w:rFonts w:hint="cs"/>
          <w:rtl/>
        </w:rPr>
        <w:t>دشواري ارتباط با انديشمندان، به دليل بي‌اعتمادي حاصل از همكاري با ساير نهادهاي پژوهشي</w:t>
      </w:r>
    </w:p>
    <w:p w:rsidR="00E629DE" w:rsidRDefault="00E629DE" w:rsidP="003679FF">
      <w:pPr>
        <w:pStyle w:val="ListParagraph"/>
        <w:numPr>
          <w:ilvl w:val="0"/>
          <w:numId w:val="20"/>
        </w:numPr>
      </w:pPr>
      <w:r>
        <w:rPr>
          <w:rFonts w:hint="cs"/>
          <w:rtl/>
        </w:rPr>
        <w:t>تحريم‌هاي خارجي، مانعي براي دستيابي به فن‏آوري‌هاي نوين و منابع علمي خارجي</w:t>
      </w:r>
    </w:p>
    <w:p w:rsidR="003679FF" w:rsidRDefault="003679FF" w:rsidP="003679FF">
      <w:pPr>
        <w:pStyle w:val="ListParagraph"/>
        <w:numPr>
          <w:ilvl w:val="0"/>
          <w:numId w:val="20"/>
        </w:numPr>
      </w:pPr>
      <w:r>
        <w:rPr>
          <w:rFonts w:hint="cs"/>
          <w:rtl/>
        </w:rPr>
        <w:t>تغييرات قوانين و مصوّبات پژوهشي كشور</w:t>
      </w:r>
    </w:p>
    <w:p w:rsidR="003679FF" w:rsidRDefault="003679FF" w:rsidP="003679FF">
      <w:pPr>
        <w:pStyle w:val="ListParagraph"/>
        <w:numPr>
          <w:ilvl w:val="0"/>
          <w:numId w:val="20"/>
        </w:numPr>
      </w:pPr>
      <w:r>
        <w:rPr>
          <w:rFonts w:hint="cs"/>
          <w:rtl/>
        </w:rPr>
        <w:t xml:space="preserve">تغيير </w:t>
      </w:r>
      <w:r w:rsidR="00E629DE">
        <w:rPr>
          <w:rFonts w:hint="cs"/>
          <w:rtl/>
        </w:rPr>
        <w:t>روندهاي مالي و اداري دولتي و عدم ثبات در برنامه‌هاي اقتصادي كشور</w:t>
      </w:r>
    </w:p>
    <w:p w:rsidR="00E629DE" w:rsidRDefault="00E629DE" w:rsidP="003679FF">
      <w:pPr>
        <w:pStyle w:val="ListParagraph"/>
        <w:numPr>
          <w:ilvl w:val="0"/>
          <w:numId w:val="20"/>
        </w:numPr>
      </w:pPr>
      <w:r>
        <w:rPr>
          <w:rFonts w:hint="cs"/>
          <w:rtl/>
        </w:rPr>
        <w:t>اندك بودن تعداد نخبگان و دانشمندان نجومي كشور</w:t>
      </w:r>
    </w:p>
    <w:p w:rsidR="00E629DE" w:rsidRDefault="00E629DE" w:rsidP="008F4780">
      <w:pPr>
        <w:pStyle w:val="ListParagraph"/>
        <w:numPr>
          <w:ilvl w:val="0"/>
          <w:numId w:val="20"/>
        </w:numPr>
      </w:pPr>
      <w:r>
        <w:rPr>
          <w:rFonts w:hint="cs"/>
          <w:rtl/>
        </w:rPr>
        <w:t>عدم تمايل به سرمايه‌گذاري در موضوعات پژوهشي از سوي سرمايه‌داران، به دليل عدم ثبات اقتصادي جامعه و ضعف قوانين حامي حقوق معنوي (كپي‌رايت)</w:t>
      </w:r>
    </w:p>
    <w:p w:rsidR="008F4780" w:rsidRDefault="008F4780" w:rsidP="008F4780">
      <w:pPr>
        <w:pStyle w:val="ListParagraph"/>
        <w:ind w:left="757" w:firstLine="0"/>
      </w:pPr>
    </w:p>
    <w:p w:rsidR="00E629DE" w:rsidRDefault="00E629DE" w:rsidP="00E629DE">
      <w:pPr>
        <w:pStyle w:val="Heading1"/>
        <w:rPr>
          <w:rtl/>
        </w:rPr>
      </w:pPr>
      <w:r>
        <w:rPr>
          <w:rFonts w:hint="cs"/>
          <w:rtl/>
        </w:rPr>
        <w:lastRenderedPageBreak/>
        <w:t>محيط دروني؛ قوّت‌ها</w:t>
      </w:r>
    </w:p>
    <w:p w:rsidR="00E629DE" w:rsidRDefault="00DA06FB" w:rsidP="00DA06FB">
      <w:pPr>
        <w:pStyle w:val="ListParagraph"/>
        <w:numPr>
          <w:ilvl w:val="0"/>
          <w:numId w:val="21"/>
        </w:numPr>
      </w:pPr>
      <w:r>
        <w:rPr>
          <w:rFonts w:hint="cs"/>
          <w:rtl/>
        </w:rPr>
        <w:t>بهره‌مندي از كارشناسان دانشگاهي و حوزوي</w:t>
      </w:r>
    </w:p>
    <w:p w:rsidR="00DA06FB" w:rsidRDefault="00DA06FB" w:rsidP="00DA06FB">
      <w:pPr>
        <w:pStyle w:val="ListParagraph"/>
        <w:numPr>
          <w:ilvl w:val="0"/>
          <w:numId w:val="21"/>
        </w:numPr>
      </w:pPr>
      <w:r>
        <w:rPr>
          <w:rFonts w:hint="cs"/>
          <w:rtl/>
        </w:rPr>
        <w:t>نزديك بودن به بهترين منطقه رصدي كشور</w:t>
      </w:r>
    </w:p>
    <w:p w:rsidR="00DA06FB" w:rsidRDefault="00DA06FB" w:rsidP="00DA06FB">
      <w:pPr>
        <w:pStyle w:val="ListParagraph"/>
        <w:numPr>
          <w:ilvl w:val="0"/>
          <w:numId w:val="21"/>
        </w:numPr>
      </w:pPr>
      <w:r>
        <w:rPr>
          <w:rFonts w:hint="cs"/>
          <w:rtl/>
        </w:rPr>
        <w:t>ارتباط قوي اعضاي مؤسسه با نهادهاي علمي كشور و انديشمندان عرصه نجوم</w:t>
      </w:r>
    </w:p>
    <w:p w:rsidR="00DA06FB" w:rsidRDefault="00DA06FB" w:rsidP="00DA06FB">
      <w:pPr>
        <w:pStyle w:val="ListParagraph"/>
        <w:numPr>
          <w:ilvl w:val="0"/>
          <w:numId w:val="21"/>
        </w:numPr>
      </w:pPr>
      <w:r>
        <w:rPr>
          <w:rFonts w:hint="cs"/>
          <w:rtl/>
        </w:rPr>
        <w:t>اعتبار علمي اعضاي مؤسسه در جامعه علمي</w:t>
      </w:r>
    </w:p>
    <w:p w:rsidR="00DA06FB" w:rsidRDefault="00DA06FB" w:rsidP="00DA06FB">
      <w:pPr>
        <w:pStyle w:val="ListParagraph"/>
        <w:numPr>
          <w:ilvl w:val="0"/>
          <w:numId w:val="21"/>
        </w:numPr>
      </w:pPr>
      <w:r>
        <w:rPr>
          <w:rFonts w:hint="cs"/>
          <w:rtl/>
        </w:rPr>
        <w:t>اعتماد اعضاي مؤسسه به يكديگر و عزم بر فعاليت جمعي و گروهي</w:t>
      </w:r>
    </w:p>
    <w:p w:rsidR="00DA06FB" w:rsidRDefault="00DA06FB" w:rsidP="00DA06FB">
      <w:pPr>
        <w:pStyle w:val="ListParagraph"/>
        <w:numPr>
          <w:ilvl w:val="0"/>
          <w:numId w:val="21"/>
        </w:numPr>
      </w:pPr>
      <w:r>
        <w:rPr>
          <w:rFonts w:hint="cs"/>
          <w:rtl/>
        </w:rPr>
        <w:t>دسترسي اعضاي مؤسسه به منابع سرمايه‌گذاري و قدرت بر تأمين نيازهاي مالي در كوتاه‌مدت</w:t>
      </w:r>
    </w:p>
    <w:p w:rsidR="00DA06FB" w:rsidRDefault="00DA06FB" w:rsidP="004E5D8B">
      <w:pPr>
        <w:pStyle w:val="ListParagraph"/>
        <w:numPr>
          <w:ilvl w:val="0"/>
          <w:numId w:val="21"/>
        </w:numPr>
      </w:pPr>
      <w:r>
        <w:rPr>
          <w:rFonts w:hint="cs"/>
          <w:rtl/>
        </w:rPr>
        <w:t xml:space="preserve">دانش و تجربه اعضاي مؤسسه در </w:t>
      </w:r>
      <w:r w:rsidR="004E5D8B">
        <w:rPr>
          <w:rFonts w:hint="cs"/>
          <w:rtl/>
        </w:rPr>
        <w:t>پژوهش‌هاي مرتبط با موضوعات نجوم</w:t>
      </w:r>
    </w:p>
    <w:p w:rsidR="008F4780" w:rsidRDefault="008F4780" w:rsidP="004E5D8B">
      <w:pPr>
        <w:pStyle w:val="ListParagraph"/>
        <w:numPr>
          <w:ilvl w:val="0"/>
          <w:numId w:val="21"/>
        </w:numPr>
      </w:pPr>
      <w:r>
        <w:rPr>
          <w:rFonts w:hint="cs"/>
          <w:rtl/>
        </w:rPr>
        <w:t>وجود نيروهاي انساني توانمند در زمينه‌هاي بين‌رشته‌اي</w:t>
      </w:r>
    </w:p>
    <w:p w:rsidR="00DA06FB" w:rsidRDefault="00DA06FB" w:rsidP="004E5D8B">
      <w:pPr>
        <w:pStyle w:val="Heading1"/>
        <w:rPr>
          <w:rtl/>
        </w:rPr>
      </w:pPr>
      <w:r>
        <w:rPr>
          <w:rFonts w:hint="cs"/>
          <w:rtl/>
        </w:rPr>
        <w:t>محيط دروني؛ ضعف‌ها</w:t>
      </w:r>
    </w:p>
    <w:p w:rsidR="00CB7B3F" w:rsidRDefault="004E5D8B" w:rsidP="004E5D8B">
      <w:pPr>
        <w:pStyle w:val="ListParagraph"/>
        <w:numPr>
          <w:ilvl w:val="0"/>
          <w:numId w:val="22"/>
        </w:numPr>
      </w:pPr>
      <w:r>
        <w:rPr>
          <w:rFonts w:hint="cs"/>
          <w:rtl/>
        </w:rPr>
        <w:t>تازه‌تأسيس بودن مؤسسه، فاصله تا سودآوري و وابستگي مالي به منابع ديگر</w:t>
      </w:r>
    </w:p>
    <w:p w:rsidR="004E5D8B" w:rsidRDefault="00697D05" w:rsidP="004E5D8B">
      <w:pPr>
        <w:pStyle w:val="ListParagraph"/>
        <w:numPr>
          <w:ilvl w:val="0"/>
          <w:numId w:val="22"/>
        </w:numPr>
      </w:pPr>
      <w:r>
        <w:rPr>
          <w:rFonts w:hint="cs"/>
          <w:rtl/>
        </w:rPr>
        <w:t>پاره‌وقت بودن حضور اكثر اعضاي مؤسسه</w:t>
      </w:r>
    </w:p>
    <w:p w:rsidR="008F4780" w:rsidRDefault="008F4780" w:rsidP="004E5D8B">
      <w:pPr>
        <w:pStyle w:val="ListParagraph"/>
        <w:numPr>
          <w:ilvl w:val="0"/>
          <w:numId w:val="22"/>
        </w:numPr>
      </w:pPr>
      <w:r>
        <w:rPr>
          <w:rFonts w:hint="cs"/>
          <w:rtl/>
        </w:rPr>
        <w:t>كمبود نيروي انساني متخصص در مؤسسه</w:t>
      </w:r>
    </w:p>
    <w:p w:rsidR="008F4780" w:rsidRDefault="008F4780" w:rsidP="004E5D8B">
      <w:pPr>
        <w:pStyle w:val="ListParagraph"/>
        <w:numPr>
          <w:ilvl w:val="0"/>
          <w:numId w:val="22"/>
        </w:numPr>
      </w:pPr>
      <w:r>
        <w:rPr>
          <w:rFonts w:hint="cs"/>
          <w:rtl/>
        </w:rPr>
        <w:t>عدم همگرايي كامل فكري و اجرايي نيروهاي انساني درون مؤسسه</w:t>
      </w:r>
    </w:p>
    <w:p w:rsidR="00697D05" w:rsidRDefault="00697D05" w:rsidP="00697D05">
      <w:pPr>
        <w:pStyle w:val="Heading1"/>
        <w:rPr>
          <w:rtl/>
        </w:rPr>
      </w:pPr>
      <w:r>
        <w:rPr>
          <w:rFonts w:hint="cs"/>
          <w:rtl/>
        </w:rPr>
        <w:t xml:space="preserve">ماتريس </w:t>
      </w:r>
      <w:r w:rsidRPr="00697D05">
        <w:rPr>
          <w:sz w:val="22"/>
          <w:szCs w:val="20"/>
        </w:rPr>
        <w:t>SWOT</w:t>
      </w:r>
    </w:p>
    <w:tbl>
      <w:tblPr>
        <w:tblStyle w:val="MediumList2-Accent6"/>
        <w:bidiVisual/>
        <w:tblW w:w="0" w:type="auto"/>
        <w:tblLook w:val="04A0" w:firstRow="1" w:lastRow="0" w:firstColumn="1" w:lastColumn="0" w:noHBand="0" w:noVBand="1"/>
      </w:tblPr>
      <w:tblGrid>
        <w:gridCol w:w="1806"/>
        <w:gridCol w:w="3827"/>
        <w:gridCol w:w="3969"/>
      </w:tblGrid>
      <w:tr w:rsidR="007770BE" w:rsidTr="007770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6" w:type="dxa"/>
            <w:tcBorders>
              <w:bottom w:val="nil"/>
            </w:tcBorders>
            <w:vAlign w:val="center"/>
          </w:tcPr>
          <w:p w:rsidR="00697D05" w:rsidRDefault="00697D05" w:rsidP="00697D05">
            <w:pPr>
              <w:spacing w:before="240"/>
              <w:ind w:firstLine="0"/>
              <w:jc w:val="center"/>
              <w:rPr>
                <w:rtl/>
              </w:rPr>
            </w:pPr>
          </w:p>
        </w:tc>
        <w:tc>
          <w:tcPr>
            <w:tcW w:w="3827" w:type="dxa"/>
            <w:tcBorders>
              <w:bottom w:val="single" w:sz="18" w:space="0" w:color="E36C0A" w:themeColor="accent6" w:themeShade="BF"/>
              <w:right w:val="dashed" w:sz="18" w:space="0" w:color="E36C0A" w:themeColor="accent6" w:themeShade="BF"/>
            </w:tcBorders>
            <w:vAlign w:val="center"/>
          </w:tcPr>
          <w:p w:rsidR="00697D05" w:rsidRPr="007770BE" w:rsidRDefault="00697D05" w:rsidP="00697D05">
            <w:pPr>
              <w:spacing w:before="240"/>
              <w:ind w:firstLine="0"/>
              <w:jc w:val="center"/>
              <w:cnfStyle w:val="100000000000" w:firstRow="1" w:lastRow="0" w:firstColumn="0" w:lastColumn="0" w:oddVBand="0" w:evenVBand="0" w:oddHBand="0" w:evenHBand="0" w:firstRowFirstColumn="0" w:firstRowLastColumn="0" w:lastRowFirstColumn="0" w:lastRowLastColumn="0"/>
              <w:rPr>
                <w:rFonts w:cs="Zar"/>
                <w:b/>
                <w:bCs/>
                <w:color w:val="984806" w:themeColor="accent6" w:themeShade="80"/>
                <w:sz w:val="22"/>
                <w:szCs w:val="24"/>
                <w:rtl/>
              </w:rPr>
            </w:pPr>
            <w:r w:rsidRPr="007770BE">
              <w:rPr>
                <w:rFonts w:cs="Zar" w:hint="cs"/>
                <w:b/>
                <w:bCs/>
                <w:color w:val="984806" w:themeColor="accent6" w:themeShade="80"/>
                <w:sz w:val="22"/>
                <w:szCs w:val="24"/>
                <w:rtl/>
              </w:rPr>
              <w:t>فرصت‌ها</w:t>
            </w:r>
          </w:p>
        </w:tc>
        <w:tc>
          <w:tcPr>
            <w:tcW w:w="3969" w:type="dxa"/>
            <w:tcBorders>
              <w:left w:val="dashed" w:sz="18" w:space="0" w:color="E36C0A" w:themeColor="accent6" w:themeShade="BF"/>
              <w:bottom w:val="single" w:sz="18" w:space="0" w:color="E36C0A" w:themeColor="accent6" w:themeShade="BF"/>
            </w:tcBorders>
            <w:vAlign w:val="center"/>
          </w:tcPr>
          <w:p w:rsidR="00697D05" w:rsidRPr="007770BE" w:rsidRDefault="00697D05" w:rsidP="00697D05">
            <w:pPr>
              <w:spacing w:before="240"/>
              <w:ind w:firstLine="0"/>
              <w:jc w:val="center"/>
              <w:cnfStyle w:val="100000000000" w:firstRow="1" w:lastRow="0" w:firstColumn="0" w:lastColumn="0" w:oddVBand="0" w:evenVBand="0" w:oddHBand="0" w:evenHBand="0" w:firstRowFirstColumn="0" w:firstRowLastColumn="0" w:lastRowFirstColumn="0" w:lastRowLastColumn="0"/>
              <w:rPr>
                <w:rFonts w:cs="Zar"/>
                <w:b/>
                <w:bCs/>
                <w:color w:val="984806" w:themeColor="accent6" w:themeShade="80"/>
                <w:sz w:val="22"/>
                <w:szCs w:val="24"/>
                <w:rtl/>
              </w:rPr>
            </w:pPr>
            <w:r w:rsidRPr="007770BE">
              <w:rPr>
                <w:rFonts w:cs="Zar" w:hint="cs"/>
                <w:b/>
                <w:bCs/>
                <w:color w:val="984806" w:themeColor="accent6" w:themeShade="80"/>
                <w:sz w:val="22"/>
                <w:szCs w:val="24"/>
                <w:rtl/>
              </w:rPr>
              <w:t>تهديدات</w:t>
            </w:r>
          </w:p>
        </w:tc>
      </w:tr>
      <w:tr w:rsidR="00697D05" w:rsidTr="007770BE">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806" w:type="dxa"/>
            <w:tcBorders>
              <w:bottom w:val="dashed" w:sz="18" w:space="0" w:color="E36C0A" w:themeColor="accent6" w:themeShade="BF"/>
              <w:right w:val="single" w:sz="18" w:space="0" w:color="E36C0A" w:themeColor="accent6" w:themeShade="BF"/>
            </w:tcBorders>
            <w:vAlign w:val="center"/>
          </w:tcPr>
          <w:p w:rsidR="00697D05" w:rsidRPr="007770BE" w:rsidRDefault="00697D05" w:rsidP="00697D05">
            <w:pPr>
              <w:spacing w:before="240"/>
              <w:ind w:firstLine="0"/>
              <w:jc w:val="center"/>
              <w:rPr>
                <w:rFonts w:cs="Zar"/>
                <w:b/>
                <w:bCs/>
                <w:color w:val="984806" w:themeColor="accent6" w:themeShade="80"/>
                <w:szCs w:val="24"/>
                <w:rtl/>
              </w:rPr>
            </w:pPr>
            <w:r w:rsidRPr="007770BE">
              <w:rPr>
                <w:rFonts w:cs="Zar" w:hint="cs"/>
                <w:b/>
                <w:bCs/>
                <w:color w:val="984806" w:themeColor="accent6" w:themeShade="80"/>
                <w:szCs w:val="24"/>
                <w:rtl/>
              </w:rPr>
              <w:t>قوت‌ها</w:t>
            </w:r>
          </w:p>
        </w:tc>
        <w:tc>
          <w:tcPr>
            <w:tcW w:w="3827" w:type="dxa"/>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FBD4B4" w:themeFill="accent6" w:themeFillTint="66"/>
            <w:vAlign w:val="center"/>
          </w:tcPr>
          <w:p w:rsidR="00697D05" w:rsidRDefault="00697D05" w:rsidP="00697D05">
            <w:pPr>
              <w:spacing w:before="240"/>
              <w:ind w:firstLine="0"/>
              <w:jc w:val="center"/>
              <w:cnfStyle w:val="000000100000" w:firstRow="0" w:lastRow="0" w:firstColumn="0" w:lastColumn="0" w:oddVBand="0" w:evenVBand="0" w:oddHBand="1" w:evenHBand="0" w:firstRowFirstColumn="0" w:firstRowLastColumn="0" w:lastRowFirstColumn="0" w:lastRowLastColumn="0"/>
              <w:rPr>
                <w:b/>
                <w:bCs/>
                <w:rtl/>
              </w:rPr>
            </w:pPr>
            <w:r w:rsidRPr="007770BE">
              <w:rPr>
                <w:rFonts w:hint="cs"/>
                <w:b/>
                <w:bCs/>
                <w:rtl/>
              </w:rPr>
              <w:t>راهبردهاي تهاجمي</w:t>
            </w:r>
          </w:p>
          <w:p w:rsidR="001C7A8F" w:rsidRPr="001C7A8F" w:rsidRDefault="001C7A8F" w:rsidP="00697D05">
            <w:pPr>
              <w:spacing w:before="240"/>
              <w:ind w:firstLine="0"/>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با توجه به توانايي مؤسسه براي اقدام در موضوعي كه فرصت اجتماعي آن وجود دارد، بايد اين راهبردها در اولويت اول اقدام قرار گيرند.</w:t>
            </w:r>
          </w:p>
        </w:tc>
        <w:tc>
          <w:tcPr>
            <w:tcW w:w="3969" w:type="dxa"/>
            <w:tcBorders>
              <w:top w:val="single" w:sz="18" w:space="0" w:color="E36C0A" w:themeColor="accent6" w:themeShade="BF"/>
              <w:left w:val="single" w:sz="18" w:space="0" w:color="E36C0A" w:themeColor="accent6" w:themeShade="BF"/>
              <w:bottom w:val="single" w:sz="18" w:space="0" w:color="E36C0A" w:themeColor="accent6" w:themeShade="BF"/>
              <w:right w:val="nil"/>
            </w:tcBorders>
            <w:shd w:val="clear" w:color="auto" w:fill="FBD4B4" w:themeFill="accent6" w:themeFillTint="66"/>
            <w:vAlign w:val="center"/>
          </w:tcPr>
          <w:p w:rsidR="00697D05" w:rsidRDefault="00697D05" w:rsidP="00697D05">
            <w:pPr>
              <w:spacing w:before="240"/>
              <w:ind w:firstLine="0"/>
              <w:jc w:val="center"/>
              <w:cnfStyle w:val="000000100000" w:firstRow="0" w:lastRow="0" w:firstColumn="0" w:lastColumn="0" w:oddVBand="0" w:evenVBand="0" w:oddHBand="1" w:evenHBand="0" w:firstRowFirstColumn="0" w:firstRowLastColumn="0" w:lastRowFirstColumn="0" w:lastRowLastColumn="0"/>
              <w:rPr>
                <w:b/>
                <w:bCs/>
                <w:rtl/>
              </w:rPr>
            </w:pPr>
            <w:r w:rsidRPr="007770BE">
              <w:rPr>
                <w:rFonts w:hint="cs"/>
                <w:b/>
                <w:bCs/>
                <w:rtl/>
              </w:rPr>
              <w:t>راهبردهاي انطباقي</w:t>
            </w:r>
          </w:p>
          <w:p w:rsidR="001C7A8F" w:rsidRPr="001C7A8F" w:rsidRDefault="001C7A8F" w:rsidP="00697D05">
            <w:pPr>
              <w:spacing w:before="240"/>
              <w:ind w:firstLine="0"/>
              <w:jc w:val="center"/>
              <w:cnfStyle w:val="000000100000" w:firstRow="0" w:lastRow="0" w:firstColumn="0" w:lastColumn="0" w:oddVBand="0" w:evenVBand="0" w:oddHBand="1" w:evenHBand="0" w:firstRowFirstColumn="0" w:firstRowLastColumn="0" w:lastRowFirstColumn="0" w:lastRowLastColumn="0"/>
              <w:rPr>
                <w:sz w:val="24"/>
                <w:szCs w:val="24"/>
                <w:rtl/>
              </w:rPr>
            </w:pPr>
            <w:r>
              <w:rPr>
                <w:rFonts w:hint="cs"/>
                <w:sz w:val="24"/>
                <w:szCs w:val="24"/>
                <w:rtl/>
              </w:rPr>
              <w:t>اگر چه توانايي اقدام وجود دارد، ولي آماده نبودن شرايط اجتماعي لزوم احتياط را مطرح مي‌كند. بايد با ملاحظات بسيار زياد اين راهبردها را عملي كرد.</w:t>
            </w:r>
          </w:p>
        </w:tc>
      </w:tr>
      <w:tr w:rsidR="007770BE" w:rsidTr="007770BE">
        <w:trPr>
          <w:trHeight w:val="1259"/>
        </w:trPr>
        <w:tc>
          <w:tcPr>
            <w:cnfStyle w:val="001000000000" w:firstRow="0" w:lastRow="0" w:firstColumn="1" w:lastColumn="0" w:oddVBand="0" w:evenVBand="0" w:oddHBand="0" w:evenHBand="0" w:firstRowFirstColumn="0" w:firstRowLastColumn="0" w:lastRowFirstColumn="0" w:lastRowLastColumn="0"/>
            <w:tcW w:w="1806" w:type="dxa"/>
            <w:tcBorders>
              <w:top w:val="dashed" w:sz="18" w:space="0" w:color="E36C0A" w:themeColor="accent6" w:themeShade="BF"/>
              <w:right w:val="single" w:sz="18" w:space="0" w:color="E36C0A" w:themeColor="accent6" w:themeShade="BF"/>
            </w:tcBorders>
            <w:vAlign w:val="center"/>
          </w:tcPr>
          <w:p w:rsidR="00697D05" w:rsidRPr="007770BE" w:rsidRDefault="00697D05" w:rsidP="00697D05">
            <w:pPr>
              <w:spacing w:before="240"/>
              <w:ind w:firstLine="0"/>
              <w:jc w:val="center"/>
              <w:rPr>
                <w:rFonts w:cs="Zar"/>
                <w:b/>
                <w:bCs/>
                <w:color w:val="984806" w:themeColor="accent6" w:themeShade="80"/>
                <w:szCs w:val="24"/>
                <w:rtl/>
              </w:rPr>
            </w:pPr>
            <w:r w:rsidRPr="007770BE">
              <w:rPr>
                <w:rFonts w:cs="Zar" w:hint="cs"/>
                <w:b/>
                <w:bCs/>
                <w:color w:val="984806" w:themeColor="accent6" w:themeShade="80"/>
                <w:szCs w:val="24"/>
                <w:rtl/>
              </w:rPr>
              <w:t>ضعف‌ها</w:t>
            </w:r>
          </w:p>
        </w:tc>
        <w:tc>
          <w:tcPr>
            <w:tcW w:w="3827" w:type="dxa"/>
            <w:tcBorders>
              <w:top w:val="single" w:sz="18" w:space="0" w:color="E36C0A" w:themeColor="accent6" w:themeShade="BF"/>
              <w:left w:val="single" w:sz="18" w:space="0" w:color="E36C0A" w:themeColor="accent6" w:themeShade="BF"/>
              <w:bottom w:val="nil"/>
              <w:right w:val="single" w:sz="18" w:space="0" w:color="E36C0A" w:themeColor="accent6" w:themeShade="BF"/>
            </w:tcBorders>
            <w:shd w:val="clear" w:color="auto" w:fill="FBD4B4" w:themeFill="accent6" w:themeFillTint="66"/>
            <w:vAlign w:val="center"/>
          </w:tcPr>
          <w:p w:rsidR="00697D05" w:rsidRDefault="00697D05" w:rsidP="00697D05">
            <w:pPr>
              <w:spacing w:before="240"/>
              <w:ind w:firstLine="0"/>
              <w:jc w:val="center"/>
              <w:cnfStyle w:val="000000000000" w:firstRow="0" w:lastRow="0" w:firstColumn="0" w:lastColumn="0" w:oddVBand="0" w:evenVBand="0" w:oddHBand="0" w:evenHBand="0" w:firstRowFirstColumn="0" w:firstRowLastColumn="0" w:lastRowFirstColumn="0" w:lastRowLastColumn="0"/>
              <w:rPr>
                <w:b/>
                <w:bCs/>
                <w:rtl/>
              </w:rPr>
            </w:pPr>
            <w:r w:rsidRPr="007770BE">
              <w:rPr>
                <w:rFonts w:hint="cs"/>
                <w:b/>
                <w:bCs/>
                <w:rtl/>
              </w:rPr>
              <w:t>راهبردهاي اقتضايي</w:t>
            </w:r>
          </w:p>
          <w:p w:rsidR="001C7A8F" w:rsidRPr="001C7A8F" w:rsidRDefault="001C7A8F" w:rsidP="00697D05">
            <w:pPr>
              <w:spacing w:before="240"/>
              <w:ind w:firstLine="0"/>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فضاي مناسبي در جامعه براي فعاليت وجود دارد، ولي مؤسسه توانايي انجام آن كار را ندارد. بايد تا مي‌تواند توانمندي كسب كند و در </w:t>
            </w:r>
            <w:r>
              <w:rPr>
                <w:rFonts w:hint="eastAsia"/>
                <w:sz w:val="24"/>
                <w:szCs w:val="24"/>
                <w:rtl/>
              </w:rPr>
              <w:t>حدّ</w:t>
            </w:r>
            <w:r>
              <w:rPr>
                <w:rFonts w:hint="cs"/>
                <w:sz w:val="24"/>
                <w:szCs w:val="24"/>
                <w:rtl/>
              </w:rPr>
              <w:t xml:space="preserve"> توان از آن فرصت بهره‌برداي نمايد. اين راهبردها دومين اولويت‌هاي اجرايي مؤسسه هستند.</w:t>
            </w:r>
          </w:p>
        </w:tc>
        <w:tc>
          <w:tcPr>
            <w:tcW w:w="3969" w:type="dxa"/>
            <w:tcBorders>
              <w:top w:val="single" w:sz="18" w:space="0" w:color="E36C0A" w:themeColor="accent6" w:themeShade="BF"/>
              <w:left w:val="single" w:sz="18" w:space="0" w:color="E36C0A" w:themeColor="accent6" w:themeShade="BF"/>
              <w:bottom w:val="nil"/>
              <w:right w:val="nil"/>
            </w:tcBorders>
            <w:shd w:val="clear" w:color="auto" w:fill="FBD4B4" w:themeFill="accent6" w:themeFillTint="66"/>
            <w:vAlign w:val="center"/>
          </w:tcPr>
          <w:p w:rsidR="00697D05" w:rsidRDefault="00697D05" w:rsidP="00697D05">
            <w:pPr>
              <w:spacing w:before="240"/>
              <w:ind w:firstLine="0"/>
              <w:jc w:val="center"/>
              <w:cnfStyle w:val="000000000000" w:firstRow="0" w:lastRow="0" w:firstColumn="0" w:lastColumn="0" w:oddVBand="0" w:evenVBand="0" w:oddHBand="0" w:evenHBand="0" w:firstRowFirstColumn="0" w:firstRowLastColumn="0" w:lastRowFirstColumn="0" w:lastRowLastColumn="0"/>
              <w:rPr>
                <w:b/>
                <w:bCs/>
                <w:rtl/>
              </w:rPr>
            </w:pPr>
            <w:r w:rsidRPr="007770BE">
              <w:rPr>
                <w:rFonts w:hint="cs"/>
                <w:b/>
                <w:bCs/>
                <w:rtl/>
              </w:rPr>
              <w:t>راهبردهاي دفاعي</w:t>
            </w:r>
          </w:p>
          <w:p w:rsidR="001C7A8F" w:rsidRPr="001C7A8F" w:rsidRDefault="001C7A8F" w:rsidP="00697D05">
            <w:pPr>
              <w:spacing w:before="240"/>
              <w:ind w:firstLine="0"/>
              <w:jc w:val="center"/>
              <w:cnfStyle w:val="000000000000" w:firstRow="0" w:lastRow="0" w:firstColumn="0" w:lastColumn="0" w:oddVBand="0" w:evenVBand="0" w:oddHBand="0" w:evenHBand="0" w:firstRowFirstColumn="0" w:firstRowLastColumn="0" w:lastRowFirstColumn="0" w:lastRowLastColumn="0"/>
              <w:rPr>
                <w:sz w:val="24"/>
                <w:szCs w:val="24"/>
                <w:rtl/>
              </w:rPr>
            </w:pPr>
            <w:r>
              <w:rPr>
                <w:rFonts w:hint="cs"/>
                <w:sz w:val="24"/>
                <w:szCs w:val="24"/>
                <w:rtl/>
              </w:rPr>
              <w:t xml:space="preserve">مؤسسه توانايي انجام اين نوع پروژه‌ها را ندارد. از سوي ديگر جامعه نيز ظرفيت پذيرش اين نوع فعاليت‌ها را در اختيار نمي‌گذارد. در اين موارد </w:t>
            </w:r>
            <w:r>
              <w:rPr>
                <w:rFonts w:hint="eastAsia"/>
                <w:sz w:val="24"/>
                <w:szCs w:val="24"/>
                <w:rtl/>
              </w:rPr>
              <w:t>كاملاً</w:t>
            </w:r>
            <w:r>
              <w:rPr>
                <w:rFonts w:hint="cs"/>
                <w:sz w:val="24"/>
                <w:szCs w:val="24"/>
                <w:rtl/>
              </w:rPr>
              <w:t xml:space="preserve"> بايد عقب‌نشيني كرد و اقدام ننمود. اين راهبردها براي حفظ مؤسسه طرح مي‌شوند.</w:t>
            </w:r>
          </w:p>
        </w:tc>
      </w:tr>
    </w:tbl>
    <w:p w:rsidR="00697D05" w:rsidRDefault="00697D05" w:rsidP="00697D05">
      <w:pPr>
        <w:rPr>
          <w:rtl/>
        </w:rPr>
      </w:pPr>
    </w:p>
    <w:p w:rsidR="00FD2637" w:rsidRDefault="007770BE" w:rsidP="007770BE">
      <w:pPr>
        <w:pStyle w:val="Heading1"/>
        <w:rPr>
          <w:rtl/>
        </w:rPr>
      </w:pPr>
      <w:r>
        <w:rPr>
          <w:rFonts w:hint="cs"/>
          <w:rtl/>
        </w:rPr>
        <w:t>راهبردهاي تهاجمي</w:t>
      </w:r>
    </w:p>
    <w:p w:rsidR="007770BE" w:rsidRDefault="00793418" w:rsidP="00793418">
      <w:pPr>
        <w:pStyle w:val="ListParagraph"/>
        <w:numPr>
          <w:ilvl w:val="0"/>
          <w:numId w:val="23"/>
        </w:numPr>
      </w:pPr>
      <w:r>
        <w:rPr>
          <w:rFonts w:hint="cs"/>
          <w:rtl/>
        </w:rPr>
        <w:t>تقويت امكانات، تجهيزات و ابزارهاي پژوهشي و اجرايي مؤسسه و تأمين سرمايه فعاليت‌هاي پژوهشي براي جذب كارشناسان نجوم با استفاده از فرصت پيشرفته نبودن نهادهاي نجومي كشور (ف1- ق6)</w:t>
      </w:r>
    </w:p>
    <w:p w:rsidR="00793418" w:rsidRDefault="00793418" w:rsidP="00793418">
      <w:pPr>
        <w:pStyle w:val="ListParagraph"/>
        <w:numPr>
          <w:ilvl w:val="0"/>
          <w:numId w:val="23"/>
        </w:numPr>
      </w:pPr>
      <w:r>
        <w:rPr>
          <w:rFonts w:hint="cs"/>
          <w:rtl/>
        </w:rPr>
        <w:t>طراحي و اجراي پروژه‌هاي بين‌رشته‌اي با استفاده از نيروهاي مؤسسه و ناتواني ساير نهادهاي نجومي كشور براي فعاليت در اين زمينه‌ها (1</w:t>
      </w:r>
      <w:r w:rsidR="00283980">
        <w:rPr>
          <w:rFonts w:hint="cs"/>
          <w:rtl/>
        </w:rPr>
        <w:t>و4</w:t>
      </w:r>
      <w:r>
        <w:rPr>
          <w:rFonts w:hint="cs"/>
          <w:rtl/>
        </w:rPr>
        <w:t>- 8)</w:t>
      </w:r>
    </w:p>
    <w:p w:rsidR="00283980" w:rsidRDefault="00283980" w:rsidP="00283980">
      <w:pPr>
        <w:pStyle w:val="ListParagraph"/>
        <w:numPr>
          <w:ilvl w:val="0"/>
          <w:numId w:val="23"/>
        </w:numPr>
      </w:pPr>
      <w:r>
        <w:rPr>
          <w:rFonts w:hint="cs"/>
          <w:rtl/>
        </w:rPr>
        <w:lastRenderedPageBreak/>
        <w:t>اولويت دادن به پروژه‌هايي كه تا كنون هيچ نهادي به آن‏ها نپرداخته در موضوعاتي كه كارشناسان مؤسسه در آن‏ها توانمند هستند. (2- 7)</w:t>
      </w:r>
    </w:p>
    <w:p w:rsidR="00283980" w:rsidRDefault="00283980" w:rsidP="00283980">
      <w:pPr>
        <w:pStyle w:val="ListParagraph"/>
        <w:numPr>
          <w:ilvl w:val="0"/>
          <w:numId w:val="23"/>
        </w:numPr>
      </w:pPr>
      <w:r>
        <w:rPr>
          <w:rFonts w:hint="cs"/>
          <w:rtl/>
        </w:rPr>
        <w:t>اهتمام به پروژه‌هايي كه نياز به استفاده از رصدخانه قوي دارند، يا خدماتي كه پيرامون رصدخانه ملّي مي‌توان ارائه كرد (3- 2)</w:t>
      </w:r>
    </w:p>
    <w:p w:rsidR="00283980" w:rsidRDefault="00283980" w:rsidP="002C4C69">
      <w:pPr>
        <w:pStyle w:val="ListParagraph"/>
        <w:numPr>
          <w:ilvl w:val="0"/>
          <w:numId w:val="23"/>
        </w:numPr>
      </w:pPr>
      <w:r>
        <w:rPr>
          <w:rFonts w:hint="cs"/>
          <w:rtl/>
        </w:rPr>
        <w:t>استفاده از فرصت علاقه‌مندي اقشار مختلف جامعه به علم نجوم، براي انجام پروژه‌هاي درآمدزا با وسعت زياد و عمومي با بهره‌گيري از اعتبار مؤسسه و به‌كارگيري كارشناسان مطرح در جامعه (5</w:t>
      </w:r>
      <w:r w:rsidR="003C7C72">
        <w:rPr>
          <w:rFonts w:hint="cs"/>
          <w:rtl/>
        </w:rPr>
        <w:t>و</w:t>
      </w:r>
      <w:r w:rsidR="002C4C69">
        <w:rPr>
          <w:rFonts w:hint="cs"/>
          <w:rtl/>
        </w:rPr>
        <w:t>7</w:t>
      </w:r>
      <w:r>
        <w:rPr>
          <w:rFonts w:hint="cs"/>
          <w:rtl/>
        </w:rPr>
        <w:t>- 4و1</w:t>
      </w:r>
      <w:r w:rsidR="003C7C72">
        <w:rPr>
          <w:rFonts w:hint="cs"/>
          <w:rtl/>
        </w:rPr>
        <w:t>و3</w:t>
      </w:r>
      <w:r>
        <w:rPr>
          <w:rFonts w:hint="cs"/>
          <w:rtl/>
        </w:rPr>
        <w:t>)</w:t>
      </w:r>
    </w:p>
    <w:p w:rsidR="003C7C72" w:rsidRDefault="003C7C72" w:rsidP="002C4C69">
      <w:pPr>
        <w:pStyle w:val="ListParagraph"/>
        <w:numPr>
          <w:ilvl w:val="0"/>
          <w:numId w:val="23"/>
        </w:numPr>
        <w:rPr>
          <w:rtl/>
        </w:rPr>
      </w:pPr>
      <w:r>
        <w:rPr>
          <w:rFonts w:hint="cs"/>
          <w:rtl/>
        </w:rPr>
        <w:t>ساماندهي پروژه‌هاي مرتبط با گاهشماري قمري و اوقات شرعي، با توجه به نياز جامعه (</w:t>
      </w:r>
      <w:r w:rsidR="002C4C69">
        <w:rPr>
          <w:rFonts w:hint="cs"/>
          <w:rtl/>
        </w:rPr>
        <w:t>6</w:t>
      </w:r>
      <w:r>
        <w:rPr>
          <w:rFonts w:hint="cs"/>
          <w:rtl/>
        </w:rPr>
        <w:t>- 6و7)</w:t>
      </w:r>
    </w:p>
    <w:p w:rsidR="007770BE" w:rsidRDefault="007770BE" w:rsidP="007770BE">
      <w:pPr>
        <w:pStyle w:val="Heading1"/>
        <w:rPr>
          <w:rtl/>
        </w:rPr>
      </w:pPr>
      <w:r>
        <w:rPr>
          <w:rFonts w:hint="cs"/>
          <w:rtl/>
        </w:rPr>
        <w:t>راهبردهاي اقتضايي</w:t>
      </w:r>
    </w:p>
    <w:p w:rsidR="007770BE" w:rsidRDefault="0024505D" w:rsidP="0024505D">
      <w:pPr>
        <w:pStyle w:val="ListParagraph"/>
        <w:numPr>
          <w:ilvl w:val="0"/>
          <w:numId w:val="24"/>
        </w:numPr>
      </w:pPr>
      <w:r>
        <w:rPr>
          <w:rFonts w:hint="cs"/>
          <w:rtl/>
        </w:rPr>
        <w:t>پروژه‌هايي كه سودآوري كم‌تري دارند و به همين دليل سرمايه‌گذار به سختي پيدا مي‌شود، ولي نوآوري در آن بسيار زياد است. (2- 1)</w:t>
      </w:r>
    </w:p>
    <w:p w:rsidR="0024505D" w:rsidRDefault="0024505D" w:rsidP="0024505D">
      <w:pPr>
        <w:pStyle w:val="ListParagraph"/>
        <w:numPr>
          <w:ilvl w:val="0"/>
          <w:numId w:val="24"/>
        </w:numPr>
      </w:pPr>
      <w:r>
        <w:rPr>
          <w:rFonts w:hint="cs"/>
          <w:rtl/>
        </w:rPr>
        <w:t>موضوعات بكر، قابل سرمايه‌گذاري و مورد علاقه جامعه، ولي نياز به كار تمام‌وقت اعضاي مؤسسه دارد. (2و1و5و8- 2)</w:t>
      </w:r>
    </w:p>
    <w:p w:rsidR="007770BE" w:rsidRPr="007770BE" w:rsidRDefault="0024505D" w:rsidP="007770BE">
      <w:pPr>
        <w:pStyle w:val="ListParagraph"/>
        <w:numPr>
          <w:ilvl w:val="0"/>
          <w:numId w:val="24"/>
        </w:numPr>
        <w:rPr>
          <w:rtl/>
        </w:rPr>
      </w:pPr>
      <w:r>
        <w:rPr>
          <w:rFonts w:hint="cs"/>
          <w:rtl/>
        </w:rPr>
        <w:t>قبول هر پروژه‌ و اجراي پروژه‌هاي هم‌زمان، بيش از تعداد اعضاي مؤسسه، هنگامي كه سرمايه و موضوع پروژه كاملاً در اختيار است. (2و1و4- 3)</w:t>
      </w:r>
    </w:p>
    <w:p w:rsidR="007770BE" w:rsidRDefault="007770BE" w:rsidP="007770BE">
      <w:pPr>
        <w:pStyle w:val="Heading1"/>
        <w:rPr>
          <w:rtl/>
        </w:rPr>
      </w:pPr>
      <w:r>
        <w:rPr>
          <w:rFonts w:hint="cs"/>
          <w:rtl/>
        </w:rPr>
        <w:t>راهبردهاي انطباقي</w:t>
      </w:r>
    </w:p>
    <w:p w:rsidR="007770BE" w:rsidRDefault="00D059D1" w:rsidP="00D059D1">
      <w:pPr>
        <w:pStyle w:val="ListParagraph"/>
        <w:numPr>
          <w:ilvl w:val="0"/>
          <w:numId w:val="25"/>
        </w:numPr>
      </w:pPr>
      <w:r>
        <w:rPr>
          <w:rFonts w:hint="cs"/>
          <w:rtl/>
        </w:rPr>
        <w:t>تلاش براي ارتباط با انديشمندان نجوم كشور و جلب اعتماد آنان، با تعريف پروژه‌هايي مبتني بر استفاده از اعتبار علمي اعضاي مؤسسه، ارتباط قوي با نهادهاي علمي كشور، قدرت بر جذب سرمايه و نزديك بودن به بهترين منطقه رصدي كشور (1- 1و2و3و4و6)</w:t>
      </w:r>
    </w:p>
    <w:p w:rsidR="00D059D1" w:rsidRDefault="00D059D1" w:rsidP="0041685C">
      <w:pPr>
        <w:pStyle w:val="ListParagraph"/>
        <w:numPr>
          <w:ilvl w:val="0"/>
          <w:numId w:val="25"/>
        </w:numPr>
      </w:pPr>
      <w:r>
        <w:rPr>
          <w:rFonts w:hint="cs"/>
          <w:rtl/>
        </w:rPr>
        <w:t xml:space="preserve">تعريف پروژه‌هايي </w:t>
      </w:r>
      <w:r w:rsidR="0041685C">
        <w:rPr>
          <w:rFonts w:hint="cs"/>
          <w:rtl/>
        </w:rPr>
        <w:t>براي دستيابي به منابع علمي خارج كشور به وسيله</w:t>
      </w:r>
      <w:r>
        <w:rPr>
          <w:rFonts w:hint="cs"/>
          <w:rtl/>
        </w:rPr>
        <w:t xml:space="preserve"> ارتباط با كارشناسان و نهادهاي علمي به عنوان ملزومات اجراي پروژه (2- 1و3)</w:t>
      </w:r>
    </w:p>
    <w:p w:rsidR="007770BE" w:rsidRDefault="00D059D1" w:rsidP="00D059D1">
      <w:pPr>
        <w:pStyle w:val="ListParagraph"/>
        <w:numPr>
          <w:ilvl w:val="0"/>
          <w:numId w:val="25"/>
        </w:numPr>
      </w:pPr>
      <w:r>
        <w:rPr>
          <w:rFonts w:hint="cs"/>
          <w:rtl/>
        </w:rPr>
        <w:t>ايجاد تمايل در سرمايه‌داران براي سرمايه‌گذاري در پروژه‌هايي كه مي‌توانند سودآور باشند، با استفاده از توان انديشمندان و مراكز علمي نجومي كشور (6- 3)</w:t>
      </w:r>
    </w:p>
    <w:p w:rsidR="0041685C" w:rsidRPr="007770BE" w:rsidRDefault="0041685C" w:rsidP="0041685C">
      <w:pPr>
        <w:pStyle w:val="ListParagraph"/>
        <w:numPr>
          <w:ilvl w:val="0"/>
          <w:numId w:val="25"/>
        </w:numPr>
        <w:rPr>
          <w:rtl/>
        </w:rPr>
      </w:pPr>
      <w:r>
        <w:rPr>
          <w:rFonts w:hint="cs"/>
          <w:rtl/>
        </w:rPr>
        <w:t>تعريف پروژه‌هايي براي ايجاد فرصت از طريق تغيير شرايط اجتماعي، رفع موانع و بسترسازي پروژه‌هاي مهم‌تر (6-6و7)</w:t>
      </w:r>
    </w:p>
    <w:p w:rsidR="007770BE" w:rsidRDefault="007770BE" w:rsidP="007770BE">
      <w:pPr>
        <w:pStyle w:val="Heading1"/>
        <w:rPr>
          <w:rtl/>
        </w:rPr>
      </w:pPr>
      <w:r>
        <w:rPr>
          <w:rFonts w:hint="cs"/>
          <w:rtl/>
        </w:rPr>
        <w:t>راهبردهاي دفاعي</w:t>
      </w:r>
    </w:p>
    <w:p w:rsidR="00D059D1" w:rsidRDefault="00D059D1" w:rsidP="00D059D1">
      <w:pPr>
        <w:pStyle w:val="ListParagraph"/>
        <w:numPr>
          <w:ilvl w:val="0"/>
          <w:numId w:val="26"/>
        </w:numPr>
      </w:pPr>
      <w:r>
        <w:rPr>
          <w:rFonts w:hint="cs"/>
          <w:rtl/>
        </w:rPr>
        <w:t>مراقبت از تغييرات قوانين و مصوّبات پژوهشي و دقت در روندهاي مالي و اداري، با توجه به تازه‌تأسيس بودن مؤسسه (3و4- 1)</w:t>
      </w:r>
    </w:p>
    <w:p w:rsidR="00D059D1" w:rsidRDefault="00D059D1" w:rsidP="0041685C">
      <w:pPr>
        <w:pStyle w:val="ListParagraph"/>
        <w:numPr>
          <w:ilvl w:val="0"/>
          <w:numId w:val="26"/>
        </w:numPr>
      </w:pPr>
      <w:r>
        <w:rPr>
          <w:rFonts w:hint="cs"/>
          <w:rtl/>
        </w:rPr>
        <w:t>پرهيز از ايجاد چالش در ارتباط با نخبگان</w:t>
      </w:r>
      <w:r w:rsidR="0041685C">
        <w:rPr>
          <w:rFonts w:hint="cs"/>
          <w:rtl/>
        </w:rPr>
        <w:t>،</w:t>
      </w:r>
      <w:r>
        <w:rPr>
          <w:rFonts w:hint="cs"/>
          <w:rtl/>
        </w:rPr>
        <w:t xml:space="preserve"> دانشمندان</w:t>
      </w:r>
      <w:r w:rsidR="0041685C">
        <w:rPr>
          <w:rFonts w:hint="cs"/>
          <w:rtl/>
        </w:rPr>
        <w:t xml:space="preserve"> و مراكز</w:t>
      </w:r>
      <w:r>
        <w:rPr>
          <w:rFonts w:hint="cs"/>
          <w:rtl/>
        </w:rPr>
        <w:t xml:space="preserve"> نجوم</w:t>
      </w:r>
      <w:r w:rsidR="0041685C">
        <w:rPr>
          <w:rFonts w:hint="cs"/>
          <w:rtl/>
        </w:rPr>
        <w:t>ي</w:t>
      </w:r>
      <w:r>
        <w:rPr>
          <w:rFonts w:hint="cs"/>
          <w:rtl/>
        </w:rPr>
        <w:t>، با توجه به تعداد اندك آنان و كمبود نيروي متخصص در مؤسسه (5- 3)</w:t>
      </w:r>
    </w:p>
    <w:p w:rsidR="005103C4" w:rsidRDefault="005103C4" w:rsidP="001424D6">
      <w:pPr>
        <w:rPr>
          <w:sz w:val="28"/>
          <w:rtl/>
        </w:rPr>
      </w:pPr>
    </w:p>
    <w:p w:rsidR="00D059D1" w:rsidRDefault="00D059D1" w:rsidP="001424D6">
      <w:pPr>
        <w:rPr>
          <w:sz w:val="28"/>
          <w:rtl/>
        </w:rPr>
      </w:pPr>
      <w:r>
        <w:rPr>
          <w:rFonts w:hint="cs"/>
          <w:sz w:val="28"/>
          <w:rtl/>
        </w:rPr>
        <w:t>بر اساس راهبردهاي فوق، پروژه‌هاي پيشنهادي مورد ارزيابي قرار خواهند گرفت.</w:t>
      </w:r>
    </w:p>
    <w:p w:rsidR="002C5590" w:rsidRDefault="002C5590" w:rsidP="002C5590">
      <w:pPr>
        <w:jc w:val="right"/>
        <w:rPr>
          <w:sz w:val="28"/>
          <w:rtl/>
        </w:rPr>
      </w:pPr>
    </w:p>
    <w:p w:rsidR="00B624E4" w:rsidRDefault="00B624E4" w:rsidP="001424D6">
      <w:pPr>
        <w:rPr>
          <w:sz w:val="28"/>
          <w:rtl/>
        </w:rPr>
      </w:pPr>
    </w:p>
    <w:sectPr w:rsidR="00B624E4" w:rsidSect="00024D73">
      <w:footerReference w:type="defaul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B2" w:rsidRDefault="000928B2" w:rsidP="00024D73">
      <w:pPr>
        <w:spacing w:after="0" w:line="240" w:lineRule="auto"/>
      </w:pPr>
      <w:r>
        <w:separator/>
      </w:r>
    </w:p>
  </w:endnote>
  <w:endnote w:type="continuationSeparator" w:id="0">
    <w:p w:rsidR="000928B2" w:rsidRDefault="000928B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80002003" w:usb1="80002042" w:usb2="00000008"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ind w:firstLine="0"/>
      <w:jc w:val="center"/>
      <w:rPr>
        <w:rFonts w:cs="Titr"/>
        <w:sz w:val="20"/>
        <w:szCs w:val="24"/>
        <w:rtl/>
      </w:rPr>
    </w:pPr>
    <w:r>
      <w:rPr>
        <w:rFonts w:cs="Titr" w:hint="cs"/>
        <w:noProof/>
        <w:sz w:val="20"/>
        <w:szCs w:val="24"/>
      </w:rPr>
      <w:drawing>
        <wp:anchor distT="0" distB="0" distL="114300" distR="114300" simplePos="0" relativeHeight="251658240" behindDoc="1" locked="0" layoutInCell="1" allowOverlap="1" wp14:anchorId="7B1BA37D" wp14:editId="6E5BF84E">
          <wp:simplePos x="0" y="0"/>
          <wp:positionH relativeFrom="column">
            <wp:posOffset>-294005</wp:posOffset>
          </wp:positionH>
          <wp:positionV relativeFrom="paragraph">
            <wp:posOffset>-1340574</wp:posOffset>
          </wp:positionV>
          <wp:extent cx="724535" cy="1564640"/>
          <wp:effectExtent l="19050" t="0" r="18415" b="511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nament Black 04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535" cy="1564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942F3F">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73" w:rsidRPr="00024D73" w:rsidRDefault="00024D73" w:rsidP="00024D73">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942F3F">
      <w:rPr>
        <w:rFonts w:ascii="Tunga" w:hAnsi="Tunga" w:cs="Tunga"/>
        <w:noProof/>
        <w:sz w:val="16"/>
        <w:szCs w:val="16"/>
      </w:rPr>
      <w:t>c:\users\user\desktop\kebria-cheshmandaz 90-10-1 3.docx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B2" w:rsidRDefault="000928B2" w:rsidP="00024D73">
      <w:pPr>
        <w:spacing w:after="0" w:line="240" w:lineRule="auto"/>
      </w:pPr>
      <w:r>
        <w:separator/>
      </w:r>
    </w:p>
  </w:footnote>
  <w:footnote w:type="continuationSeparator" w:id="0">
    <w:p w:rsidR="000928B2" w:rsidRDefault="000928B2"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7AC7711"/>
    <w:multiLevelType w:val="hybridMultilevel"/>
    <w:tmpl w:val="C2828EF2"/>
    <w:lvl w:ilvl="0" w:tplc="B3F07A9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0C7931AE"/>
    <w:multiLevelType w:val="hybridMultilevel"/>
    <w:tmpl w:val="A094E8BE"/>
    <w:lvl w:ilvl="0" w:tplc="6E066D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2DA4422"/>
    <w:multiLevelType w:val="hybridMultilevel"/>
    <w:tmpl w:val="AE709F0E"/>
    <w:lvl w:ilvl="0" w:tplc="57B63E9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57D65BB"/>
    <w:multiLevelType w:val="hybridMultilevel"/>
    <w:tmpl w:val="89668C60"/>
    <w:lvl w:ilvl="0" w:tplc="9C9CB19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7BF0D46"/>
    <w:multiLevelType w:val="hybridMultilevel"/>
    <w:tmpl w:val="B0AEA490"/>
    <w:lvl w:ilvl="0" w:tplc="D264F35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06E70D8"/>
    <w:multiLevelType w:val="hybridMultilevel"/>
    <w:tmpl w:val="3294A658"/>
    <w:lvl w:ilvl="0" w:tplc="4DA2B6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DBF5DB0"/>
    <w:multiLevelType w:val="hybridMultilevel"/>
    <w:tmpl w:val="8BE2E03E"/>
    <w:lvl w:ilvl="0" w:tplc="638A428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7041D3"/>
    <w:multiLevelType w:val="hybridMultilevel"/>
    <w:tmpl w:val="269C94C2"/>
    <w:lvl w:ilvl="0" w:tplc="886401F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7354DF1"/>
    <w:multiLevelType w:val="hybridMultilevel"/>
    <w:tmpl w:val="A2FE77AE"/>
    <w:lvl w:ilvl="0" w:tplc="6F4C2F6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74011534"/>
    <w:multiLevelType w:val="hybridMultilevel"/>
    <w:tmpl w:val="078025D0"/>
    <w:lvl w:ilvl="0" w:tplc="995C049A">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18"/>
  </w:num>
  <w:num w:numId="8">
    <w:abstractNumId w:val="12"/>
  </w:num>
  <w:num w:numId="9">
    <w:abstractNumId w:val="25"/>
  </w:num>
  <w:num w:numId="10">
    <w:abstractNumId w:val="0"/>
  </w:num>
  <w:num w:numId="11">
    <w:abstractNumId w:val="20"/>
  </w:num>
  <w:num w:numId="12">
    <w:abstractNumId w:val="7"/>
  </w:num>
  <w:num w:numId="13">
    <w:abstractNumId w:val="13"/>
  </w:num>
  <w:num w:numId="14">
    <w:abstractNumId w:val="24"/>
  </w:num>
  <w:num w:numId="15">
    <w:abstractNumId w:val="6"/>
  </w:num>
  <w:num w:numId="16">
    <w:abstractNumId w:val="11"/>
  </w:num>
  <w:num w:numId="17">
    <w:abstractNumId w:val="23"/>
  </w:num>
  <w:num w:numId="18">
    <w:abstractNumId w:val="21"/>
  </w:num>
  <w:num w:numId="19">
    <w:abstractNumId w:val="2"/>
  </w:num>
  <w:num w:numId="20">
    <w:abstractNumId w:val="8"/>
  </w:num>
  <w:num w:numId="21">
    <w:abstractNumId w:val="10"/>
  </w:num>
  <w:num w:numId="22">
    <w:abstractNumId w:val="4"/>
  </w:num>
  <w:num w:numId="23">
    <w:abstractNumId w:val="19"/>
  </w:num>
  <w:num w:numId="24">
    <w:abstractNumId w:val="17"/>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71"/>
    <w:rsid w:val="00024D73"/>
    <w:rsid w:val="00063A0A"/>
    <w:rsid w:val="000644FC"/>
    <w:rsid w:val="000928B2"/>
    <w:rsid w:val="000A5D89"/>
    <w:rsid w:val="000E42A6"/>
    <w:rsid w:val="0011280B"/>
    <w:rsid w:val="001424D6"/>
    <w:rsid w:val="00150E05"/>
    <w:rsid w:val="00151AE1"/>
    <w:rsid w:val="00186B21"/>
    <w:rsid w:val="001C7A8F"/>
    <w:rsid w:val="001D56A4"/>
    <w:rsid w:val="00203B70"/>
    <w:rsid w:val="00214FE0"/>
    <w:rsid w:val="0022589C"/>
    <w:rsid w:val="0024505D"/>
    <w:rsid w:val="002811DC"/>
    <w:rsid w:val="00283980"/>
    <w:rsid w:val="002A5E6B"/>
    <w:rsid w:val="002C4C69"/>
    <w:rsid w:val="002C5590"/>
    <w:rsid w:val="002D76EC"/>
    <w:rsid w:val="00334443"/>
    <w:rsid w:val="003679FF"/>
    <w:rsid w:val="003C5060"/>
    <w:rsid w:val="003C5537"/>
    <w:rsid w:val="003C7C72"/>
    <w:rsid w:val="003F586A"/>
    <w:rsid w:val="00416786"/>
    <w:rsid w:val="0041685C"/>
    <w:rsid w:val="004260D2"/>
    <w:rsid w:val="004527E0"/>
    <w:rsid w:val="004A73C2"/>
    <w:rsid w:val="004A7A2D"/>
    <w:rsid w:val="004D5F1B"/>
    <w:rsid w:val="004E5D8B"/>
    <w:rsid w:val="00510056"/>
    <w:rsid w:val="005103C4"/>
    <w:rsid w:val="0051180F"/>
    <w:rsid w:val="0053229C"/>
    <w:rsid w:val="00580FA4"/>
    <w:rsid w:val="005B02CF"/>
    <w:rsid w:val="005B359A"/>
    <w:rsid w:val="005F37AA"/>
    <w:rsid w:val="00616E48"/>
    <w:rsid w:val="00620F50"/>
    <w:rsid w:val="006248F6"/>
    <w:rsid w:val="00697D05"/>
    <w:rsid w:val="007273E7"/>
    <w:rsid w:val="0074197C"/>
    <w:rsid w:val="00745220"/>
    <w:rsid w:val="00767BB4"/>
    <w:rsid w:val="007770BE"/>
    <w:rsid w:val="00793418"/>
    <w:rsid w:val="007942F6"/>
    <w:rsid w:val="00794FB6"/>
    <w:rsid w:val="00811F7A"/>
    <w:rsid w:val="00815FCD"/>
    <w:rsid w:val="00822442"/>
    <w:rsid w:val="00855861"/>
    <w:rsid w:val="00886163"/>
    <w:rsid w:val="008D5563"/>
    <w:rsid w:val="008D6580"/>
    <w:rsid w:val="008F105B"/>
    <w:rsid w:val="008F4780"/>
    <w:rsid w:val="00907ED4"/>
    <w:rsid w:val="00942F3F"/>
    <w:rsid w:val="009E5AD1"/>
    <w:rsid w:val="00A2206B"/>
    <w:rsid w:val="00AD17DA"/>
    <w:rsid w:val="00AF2602"/>
    <w:rsid w:val="00B30BE1"/>
    <w:rsid w:val="00B624E4"/>
    <w:rsid w:val="00B73618"/>
    <w:rsid w:val="00B923FB"/>
    <w:rsid w:val="00BA5076"/>
    <w:rsid w:val="00BB5C0C"/>
    <w:rsid w:val="00BC56A7"/>
    <w:rsid w:val="00C005F8"/>
    <w:rsid w:val="00CB46ED"/>
    <w:rsid w:val="00CB7B3F"/>
    <w:rsid w:val="00D059D1"/>
    <w:rsid w:val="00D4018C"/>
    <w:rsid w:val="00D473DC"/>
    <w:rsid w:val="00D84E4A"/>
    <w:rsid w:val="00DA06FB"/>
    <w:rsid w:val="00DC1D1A"/>
    <w:rsid w:val="00DE1026"/>
    <w:rsid w:val="00DF0764"/>
    <w:rsid w:val="00DF093D"/>
    <w:rsid w:val="00E24DD7"/>
    <w:rsid w:val="00E369C6"/>
    <w:rsid w:val="00E629DE"/>
    <w:rsid w:val="00E90164"/>
    <w:rsid w:val="00EE4893"/>
    <w:rsid w:val="00F013C5"/>
    <w:rsid w:val="00F1593E"/>
    <w:rsid w:val="00F56E84"/>
    <w:rsid w:val="00FA548B"/>
    <w:rsid w:val="00FD2637"/>
    <w:rsid w:val="00FE3A71"/>
    <w:rsid w:val="00FF635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697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97D0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697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73"/>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697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97D0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2-Accent6">
    <w:name w:val="Medium List 2 Accent 6"/>
    <w:basedOn w:val="TableNormal"/>
    <w:uiPriority w:val="66"/>
    <w:rsid w:val="00697D0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87;&#1575;&#1583;&#16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3D5D-CF82-4E0E-8BF4-BB1C31E9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ساده.dotx</Template>
  <TotalTime>5</TotalTime>
  <Pages>4</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2012-01-01T18:23:00Z</cp:lastPrinted>
  <dcterms:created xsi:type="dcterms:W3CDTF">2012-01-01T18:16:00Z</dcterms:created>
  <dcterms:modified xsi:type="dcterms:W3CDTF">2012-01-01T18:23:00Z</dcterms:modified>
</cp:coreProperties>
</file>